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auto"/>
        </w:rPr>
      </w:pPr>
    </w:p>
    <w:p>
      <w:pPr>
        <w:rPr>
          <w:color w:val="auto"/>
        </w:rPr>
      </w:pPr>
    </w:p>
    <w:p>
      <w:pPr>
        <w:jc w:val="center"/>
        <w:rPr>
          <w:rFonts w:eastAsia="黑体"/>
          <w:b/>
          <w:bCs/>
          <w:color w:val="auto"/>
          <w:sz w:val="26"/>
        </w:rPr>
      </w:pPr>
      <w:r>
        <w:rPr>
          <w:rFonts w:hint="eastAsia" w:hAnsi="黑体" w:eastAsia="黑体"/>
          <w:b/>
          <w:bCs/>
          <w:color w:val="auto"/>
          <w:sz w:val="44"/>
          <w:szCs w:val="18"/>
          <w:lang w:val="en-US" w:eastAsia="zh-CN"/>
        </w:rPr>
        <w:t>2022年入学</w:t>
      </w:r>
      <w:r>
        <w:rPr>
          <w:rFonts w:hAnsi="黑体" w:eastAsia="黑体"/>
          <w:b/>
          <w:bCs/>
          <w:color w:val="auto"/>
          <w:sz w:val="44"/>
          <w:szCs w:val="18"/>
        </w:rPr>
        <w:t>本科</w:t>
      </w:r>
      <w:r>
        <w:rPr>
          <w:rFonts w:hint="eastAsia" w:hAnsi="黑体" w:eastAsia="黑体"/>
          <w:b/>
          <w:bCs/>
          <w:color w:val="auto"/>
          <w:sz w:val="44"/>
          <w:szCs w:val="18"/>
        </w:rPr>
        <w:t>电子信息科学与技术专业立体化</w:t>
      </w:r>
      <w:r>
        <w:rPr>
          <w:rFonts w:hAnsi="黑体" w:eastAsia="黑体"/>
          <w:b/>
          <w:bCs/>
          <w:color w:val="auto"/>
          <w:sz w:val="44"/>
          <w:szCs w:val="18"/>
        </w:rPr>
        <w:t>人才培养方案</w:t>
      </w:r>
    </w:p>
    <w:p>
      <w:pPr>
        <w:ind w:firstLine="840" w:firstLineChars="300"/>
        <w:rPr>
          <w:rFonts w:eastAsia="仿宋_GB2312"/>
          <w:color w:val="auto"/>
          <w:sz w:val="28"/>
          <w:szCs w:val="21"/>
        </w:rPr>
      </w:pPr>
    </w:p>
    <w:p>
      <w:pPr>
        <w:spacing w:before="312" w:beforeLines="100"/>
        <w:ind w:left="420" w:leftChars="200"/>
        <w:rPr>
          <w:b/>
          <w:bCs/>
          <w:color w:val="auto"/>
          <w:sz w:val="28"/>
          <w:szCs w:val="28"/>
        </w:rPr>
      </w:pPr>
      <w:r>
        <w:rPr>
          <w:b/>
          <w:bCs/>
          <w:color w:val="auto"/>
          <w:sz w:val="28"/>
          <w:szCs w:val="28"/>
        </w:rPr>
        <w:t>一、专业名称、代码和学制</w:t>
      </w:r>
    </w:p>
    <w:p>
      <w:pPr>
        <w:spacing w:before="156" w:beforeLines="50" w:after="156" w:afterLines="50" w:line="400" w:lineRule="exact"/>
        <w:ind w:left="482"/>
        <w:outlineLvl w:val="0"/>
        <w:rPr>
          <w:rFonts w:eastAsia="仿宋"/>
          <w:b/>
          <w:bCs/>
          <w:color w:val="auto"/>
          <w:sz w:val="24"/>
        </w:rPr>
      </w:pPr>
      <w:r>
        <w:rPr>
          <w:rFonts w:eastAsia="仿宋"/>
          <w:b/>
          <w:bCs/>
          <w:color w:val="auto"/>
          <w:sz w:val="24"/>
        </w:rPr>
        <w:t>（一）专业名称（中英文）：</w:t>
      </w:r>
      <w:r>
        <w:rPr>
          <w:rFonts w:hint="eastAsia" w:eastAsia="仿宋"/>
          <w:b/>
          <w:bCs/>
          <w:color w:val="auto"/>
          <w:sz w:val="24"/>
        </w:rPr>
        <w:t>电子信息科学与技术</w:t>
      </w:r>
      <w:r>
        <w:rPr>
          <w:rFonts w:eastAsia="仿宋"/>
          <w:b/>
          <w:bCs/>
          <w:color w:val="auto"/>
          <w:sz w:val="24"/>
        </w:rPr>
        <w:t>（</w:t>
      </w:r>
      <w:r>
        <w:rPr>
          <w:rFonts w:hint="eastAsia" w:eastAsia="仿宋"/>
          <w:b/>
          <w:bCs/>
          <w:color w:val="auto"/>
          <w:sz w:val="24"/>
        </w:rPr>
        <w:t>Electronic Information Science and Technology</w:t>
      </w:r>
      <w:r>
        <w:rPr>
          <w:rFonts w:eastAsia="仿宋"/>
          <w:b/>
          <w:bCs/>
          <w:color w:val="auto"/>
          <w:sz w:val="24"/>
        </w:rPr>
        <w:t>）</w:t>
      </w:r>
    </w:p>
    <w:p>
      <w:pPr>
        <w:spacing w:before="156" w:beforeLines="50" w:line="400" w:lineRule="exact"/>
        <w:ind w:left="482"/>
        <w:rPr>
          <w:rFonts w:eastAsia="仿宋"/>
          <w:b/>
          <w:bCs/>
          <w:color w:val="auto"/>
          <w:sz w:val="24"/>
        </w:rPr>
      </w:pPr>
      <w:r>
        <w:rPr>
          <w:rFonts w:eastAsia="仿宋"/>
          <w:b/>
          <w:bCs/>
          <w:color w:val="auto"/>
          <w:sz w:val="24"/>
        </w:rPr>
        <w:t>（二）专业代码</w:t>
      </w:r>
      <w:r>
        <w:rPr>
          <w:rFonts w:hint="eastAsia" w:eastAsia="仿宋"/>
          <w:b/>
          <w:bCs/>
          <w:color w:val="auto"/>
          <w:sz w:val="24"/>
        </w:rPr>
        <w:t xml:space="preserve"> ：</w:t>
      </w:r>
      <w:r>
        <w:rPr>
          <w:rFonts w:eastAsia="仿宋"/>
          <w:b/>
          <w:bCs/>
          <w:color w:val="auto"/>
          <w:sz w:val="24"/>
        </w:rPr>
        <w:t>080714T</w:t>
      </w:r>
    </w:p>
    <w:p>
      <w:pPr>
        <w:spacing w:before="156" w:beforeLines="50" w:line="400" w:lineRule="exact"/>
        <w:ind w:left="482"/>
        <w:rPr>
          <w:rFonts w:eastAsia="仿宋"/>
          <w:b/>
          <w:bCs/>
          <w:color w:val="auto"/>
          <w:sz w:val="24"/>
        </w:rPr>
      </w:pPr>
      <w:r>
        <w:rPr>
          <w:rFonts w:eastAsia="仿宋"/>
          <w:b/>
          <w:bCs/>
          <w:color w:val="auto"/>
          <w:sz w:val="24"/>
        </w:rPr>
        <w:t>（三）学制：</w:t>
      </w:r>
      <w:r>
        <w:rPr>
          <w:rFonts w:hint="eastAsia" w:eastAsia="仿宋"/>
          <w:b/>
          <w:bCs/>
          <w:color w:val="auto"/>
          <w:sz w:val="24"/>
        </w:rPr>
        <w:t>四年</w:t>
      </w:r>
    </w:p>
    <w:p>
      <w:pPr>
        <w:spacing w:before="312" w:beforeLines="100"/>
        <w:ind w:left="420" w:leftChars="200"/>
        <w:rPr>
          <w:b/>
          <w:bCs/>
          <w:color w:val="auto"/>
          <w:sz w:val="28"/>
          <w:szCs w:val="28"/>
        </w:rPr>
      </w:pPr>
      <w:r>
        <w:rPr>
          <w:b/>
          <w:bCs/>
          <w:color w:val="auto"/>
          <w:sz w:val="28"/>
          <w:szCs w:val="28"/>
        </w:rPr>
        <w:t>二、培养目标和毕业要求</w:t>
      </w:r>
    </w:p>
    <w:p>
      <w:pPr>
        <w:ind w:firstLine="482" w:firstLineChars="200"/>
        <w:rPr>
          <w:rFonts w:eastAsia="仿宋"/>
          <w:b/>
          <w:bCs/>
          <w:color w:val="auto"/>
          <w:sz w:val="24"/>
        </w:rPr>
      </w:pPr>
      <w:r>
        <w:rPr>
          <w:rFonts w:eastAsia="仿宋"/>
          <w:b/>
          <w:bCs/>
          <w:color w:val="auto"/>
          <w:sz w:val="24"/>
        </w:rPr>
        <w:t>（一）培养目标</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本专业紧密结合粤港澳大湾区建设的需求，培养德、智、体全面发展,适应 21 世纪电子信息产业科技与社会经济发 展需要，知识、能力、素质综合协调发展，理论联系实际、基础扎实、动手能力强，掌握电子信息系统的基础理论与 分析设计方法，能在电子信息工程、计算机网络通信等相关企事业单位从事电子与通信系统运行、维护与管理、电子 产品与项目设计开发与技术改造等方面的工作，具有市场竞争力和一定创新和实践能力的应用型高级技术人才。</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本专业学生在毕业后 5 年内，达到以下培养目标：</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 道德素养：具有良好的人文科学素养、职业道德与国际视野，在工作中表现出良好的社会责任感、事业心、安 全与环保意识；</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 工程能力：掌握扎实的专业基础知识和专业技能，具备从事电子信息领域产品研发、设计与应用，电子信息技 术等应用工作的复杂性工程实践能力；</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 工程伦理：在电子信息实践中能够综合考虑社会、健康、安全、法律、经济、文化以及环境等因素，拥有良好 的工程职业道德；</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 团队合作：具有良好的团队合作精神、交流与沟通能力、组织协调能力，能够在实际工作中适应不同的角色；</w:t>
      </w:r>
    </w:p>
    <w:p>
      <w:pPr>
        <w:widowControl/>
        <w:adjustRightInd w:val="0"/>
        <w:snapToGrid w:val="0"/>
        <w:spacing w:line="400" w:lineRule="exact"/>
        <w:ind w:left="420" w:leftChars="200"/>
        <w:rPr>
          <w:rFonts w:eastAsia="仿宋"/>
          <w:color w:val="auto"/>
          <w:szCs w:val="21"/>
        </w:rPr>
      </w:pPr>
      <w:r>
        <w:rPr>
          <w:rFonts w:hint="eastAsia" w:eastAsia="仿宋"/>
          <w:color w:val="auto"/>
          <w:szCs w:val="21"/>
        </w:rPr>
        <w:t>5. 终身学习：能够主动适应社会环境、技术的发展变化，能够通过继续教育或其它终身学习的途径更新知识，实 现能力和技术水平的不断提升。</w:t>
      </w:r>
    </w:p>
    <w:p>
      <w:pPr>
        <w:numPr>
          <w:ilvl w:val="0"/>
          <w:numId w:val="1"/>
        </w:numPr>
        <w:spacing w:before="156" w:beforeLines="50" w:line="400" w:lineRule="exact"/>
        <w:ind w:firstLine="482" w:firstLineChars="200"/>
        <w:rPr>
          <w:rFonts w:eastAsia="仿宋"/>
          <w:b/>
          <w:bCs/>
          <w:color w:val="auto"/>
          <w:sz w:val="24"/>
        </w:rPr>
      </w:pPr>
      <w:r>
        <w:rPr>
          <w:rFonts w:eastAsia="仿宋"/>
          <w:b/>
          <w:bCs/>
          <w:color w:val="auto"/>
          <w:sz w:val="24"/>
        </w:rPr>
        <w:t>毕业要求</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1. 工程知识：</w:t>
      </w:r>
      <w:r>
        <w:rPr>
          <w:rFonts w:hint="eastAsia" w:eastAsia="仿宋"/>
          <w:color w:val="auto"/>
          <w:szCs w:val="21"/>
        </w:rPr>
        <w:t>能够将数学、自然科学、电子信息等工程基础的理论与方法用于解决本专业领域的复杂工 程问题。</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1.1 掌握数学、自然科学和电子信息的基本概念和基本理论，培养学生以系统思维描述电子信息问题的能力；</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1.2 系统掌握电子信息系统工程开发所需的数学基础理论及专业知识，了解解决电子信息复杂工程问题所需的基本 方法；</w:t>
      </w:r>
    </w:p>
    <w:p>
      <w:pPr>
        <w:widowControl/>
        <w:adjustRightInd w:val="0"/>
        <w:snapToGrid w:val="0"/>
        <w:spacing w:line="400" w:lineRule="exact"/>
        <w:ind w:firstLine="420" w:firstLineChars="200"/>
        <w:rPr>
          <w:rFonts w:eastAsia="仿宋"/>
          <w:color w:val="auto"/>
          <w:szCs w:val="21"/>
        </w:rPr>
      </w:pP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1.3 能够建立解决电子信息复杂工程问题的数学模型，并能综合运用数学、自然科学、工程基础和专业知识等进行</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问题的求解；</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1.4 能够针对电子信息较复杂工程问题，提出产品设计、开发、测试、运行与维护等方面的解决方案，并比较与综 合各方案的优缺点。</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2. 问题分析：</w:t>
      </w:r>
      <w:r>
        <w:rPr>
          <w:rFonts w:hint="eastAsia" w:eastAsia="仿宋"/>
          <w:color w:val="auto"/>
          <w:szCs w:val="21"/>
        </w:rPr>
        <w:t>能够应用数学、自然科学、工程科学的基本原理，经过识别、表达，通过文献等资料的研 究，分析电子信息专业领域的复杂工程问题，并提出解决该类问题的解决方法。</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2.1 应用数学、自然科学、工程科学的基本原理，发现和判断复杂工程问题的关键环节；</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2.2 能够根据所学知识，选择或建立一种电路与系统的数学模型，正确表达电子信息领域复杂工程问题；</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2.3 能够认识某个复杂工程问题有多种选择方案，能够通过文献研究进行分析并可找到一个合适解决方案。</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2.4 分析解决复杂工程问题方案中的各项因素，能够通过具体指标来验证解决方案的合理性；</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3. 设计/开发解决方案：</w:t>
      </w:r>
      <w:r>
        <w:rPr>
          <w:rFonts w:hint="eastAsia" w:eastAsia="仿宋"/>
          <w:color w:val="auto"/>
          <w:szCs w:val="21"/>
        </w:rPr>
        <w:t>能够设计针对电子信息专业领域的复杂工程问题的解决方案，开发满足特定需求 的电子信息产品或系统，并能够在设计或开发环节考虑社会、健康、安全、法律、文化及环境等因素。</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3.1 掌握基本电子、电路或信息系统的设计、电子元器件选择、电路仿真和实物测试等开发流程，了解有关因素对 设计目标的影响；</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3.2 掌握基本的电子线路、信息系统架构，设计满足特定功能需求的电子信息模块；</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3.3 针对电子信息领域复杂工程问题的解决方案，设计或开发具有一定创新性的电路系统或信息传输模块；</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3.4 在设计或开发电子信息系统过程中，能够考虑相关的社会、健康、安全、法律、文化及环境等因素。</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4. 研究：</w:t>
      </w:r>
      <w:r>
        <w:rPr>
          <w:rFonts w:hint="eastAsia" w:eastAsia="仿宋"/>
          <w:color w:val="auto"/>
          <w:szCs w:val="21"/>
        </w:rPr>
        <w:t>能够采用科学的方法对电子信息专业领域的复杂工程问题进行研究，包括设计实验、分析与解 释数据、并能通过信息综合得到有效的结论。</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4.1 能够利用科学及工程知识、文献研究和调研，分析解决复杂工程问题的关键环节；</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4.2 能够根据复杂工程问题的基本特征、设计或制定具体的实验方案；</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4.3 构建与实验方案相应的实验装置，开展具有效性、合理性、安全性的工程实验，并采集或测量实验数据。</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4.4 通过综合分析和数据解释，得到有效的出实验结论。</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5. 使用现代工具：</w:t>
      </w:r>
      <w:r>
        <w:rPr>
          <w:rFonts w:hint="eastAsia" w:eastAsia="仿宋"/>
          <w:color w:val="auto"/>
          <w:szCs w:val="21"/>
        </w:rPr>
        <w:t>能够针对电子信息专业领域的复杂工程问题，开发、选择并使用恰当的技术、资源、 现代开发工具，包括对问题的预测和模拟，并能够理解其局限性。</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5.1 能够了解常用的仪器、系统资源、现代开发和测试工具在电子信息领域应用的使用和操作方法；</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5.2 能够选择并使用合适的软硬件及系统资源、现代开发和测试工具进行电子信息领域复杂工程问题解决方案的分 析、计算与设计；</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5.3 能够利用电子信息的背景知识，评价各类有关开发工具在模拟或预测复杂性工程问题的局限性，并能够选择恰 当的工具进行问题分析及求解。</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6. 工程与社会：</w:t>
      </w:r>
      <w:r>
        <w:rPr>
          <w:rFonts w:hint="eastAsia" w:eastAsia="仿宋"/>
          <w:color w:val="auto"/>
          <w:szCs w:val="21"/>
        </w:rPr>
        <w:t>能够基于工程背景知识进行合理分析，评价电子信息专业工程实践和复杂工程问题的解 决方案对社会、健康、安全、法律以及文化的影响，并理解应承担的责任。</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6.1 熟悉电子信息专业领域相关的技术标准、知识产权、产业政策、法律法规、心理健康、安全等方面的知识与技 能，了解社会不同外部制约因素与电子信息领域背景的相关性及对其工程活动的影响；</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6.2 能够识别在电子信息领域开展工程项目实施时，对社会、健康、安全、法律及文化的潜在影响，以及这些制约 因素对工程实践的影响，并能理解应承担的责任。</w:t>
      </w:r>
    </w:p>
    <w:p>
      <w:pPr>
        <w:widowControl/>
        <w:adjustRightInd w:val="0"/>
        <w:snapToGrid w:val="0"/>
        <w:spacing w:line="400" w:lineRule="exact"/>
        <w:ind w:firstLine="420" w:firstLineChars="200"/>
        <w:rPr>
          <w:rFonts w:eastAsia="仿宋"/>
          <w:color w:val="auto"/>
          <w:szCs w:val="21"/>
        </w:rPr>
      </w:pP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7. 环境和可持续发展：</w:t>
      </w:r>
      <w:r>
        <w:rPr>
          <w:rFonts w:hint="eastAsia" w:eastAsia="仿宋"/>
          <w:color w:val="auto"/>
          <w:szCs w:val="21"/>
        </w:rPr>
        <w:t>能够理解和评价针对电子信息专业复杂工程问题的具体工程实践对环境、社会可</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持续发展的影响。</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7.1 了解电子信息产业在环境保护和社会可持续发展的内涵和意义，了解环境保护和社会可持续发展相关的法律法 规，明确电子信息领域各职业在环境和可持续发展中所肩负的责任；</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7.2 了解电子信息产业与环境保护、电子信息产业与社会可持续发展之间的关系，理解电子专业工程实践对环境保 护、信息安全和社会可持续发展带来的影响。</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8. 职业规范：</w:t>
      </w:r>
      <w:r>
        <w:rPr>
          <w:rFonts w:hint="eastAsia" w:eastAsia="仿宋"/>
          <w:color w:val="auto"/>
          <w:szCs w:val="21"/>
        </w:rPr>
        <w:t>具有人文社会科学素养、社会责任感，能够在电子信息专业工程实践中理解并遵守工程职 业道德和规范，履行责任。</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8.1 能够运用人文社科知识，认识并分析问题，具备良好价值观，能正确理解中国国情、了解社会与个人的关系；</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8.2 理解电子信息领域的工程职业道德和规范，并在工程实践中自觉遵守诚实公正、诚信守则；</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8.3 理解公众安全、健康和福祉等社会责任感，并能在工程实践中遵守和履行责任。</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9. 个人和团队：</w:t>
      </w:r>
      <w:r>
        <w:rPr>
          <w:rFonts w:hint="eastAsia" w:eastAsia="仿宋"/>
          <w:color w:val="auto"/>
          <w:szCs w:val="21"/>
        </w:rPr>
        <w:t>能够在多学科背景下的团队中承担个体、团队成员以及负责人的角色。</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9.1 能够认识自我，具有信息共享、合作共事的团队意识；</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9.2 能够认识工程项目团队中，每个角色的含义及所起到的作用，具备在团队协作中，独力或合作开展工作的能力。</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9.3 能够胜任在团队中自己所承担的个体、团队成员及负责人等角色，并承担相应的责任。</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10. 沟通：</w:t>
      </w:r>
      <w:r>
        <w:rPr>
          <w:rFonts w:hint="eastAsia" w:eastAsia="仿宋"/>
          <w:color w:val="auto"/>
          <w:szCs w:val="21"/>
        </w:rPr>
        <w:t>掌握与社会公众沟通交流的基本技巧；能够与业界同行就电子信息专业领域的复杂工程问题 进行讨论和有效沟通，包括撰写报告、陈述发言、清晰表达或回应指令；具备一定的国际视野，能够在跨文化背景下 进行沟通与交流。</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10.1  能够通过口头报告、文字报告等形式发表自己的观点, 能与业界同行及社会公众进行有效沟通与交流。</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10.2  了解国内外电子信息领域相关的技术发展及行业热点，并能理解文化间的差异和多样性。</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10.3  掌握一门外语的基本口语和文献理解能力，能够在跨文化背景下进行沟通与交流专业问题，具备一定的国际 视野。</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11. 项目管理：</w:t>
      </w:r>
      <w:r>
        <w:rPr>
          <w:rFonts w:hint="eastAsia" w:eastAsia="仿宋"/>
          <w:color w:val="auto"/>
          <w:szCs w:val="21"/>
        </w:rPr>
        <w:t>理解并掌握工程管理原理与经济决策方法，并能在多学科环境中应用。</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11.1 掌握工程项目活动中的全流程管理和经济评估方法；</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11.2 理解复杂工程问题解决方案中所需的成本构成，并理解所涉及的工程管理与经济决策方法；</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11.3 在电子信息领域及其它跨领域项目的设计开发过程中，能运用工程管理原理与经济决策方法。</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12. 终身学习：</w:t>
      </w:r>
      <w:r>
        <w:rPr>
          <w:rFonts w:hint="eastAsia" w:eastAsia="仿宋"/>
          <w:color w:val="auto"/>
          <w:szCs w:val="21"/>
        </w:rPr>
        <w:t>具有自主学习和终身学习的意识，和不断学习以适应行业发展的能力。</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12.1  了解电子信息技术发展中具有重大突破的历史事件，能够跟踪并了解电子信息专业领域的国内外发展趋势与 热点问题；</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12.2  具有自主学习和终身学习的意识，掌握自主学习的方法，并能对所学知识、技术与方法进理解、表达、总结 和归纳。</w:t>
      </w:r>
    </w:p>
    <w:p>
      <w:pPr>
        <w:spacing w:before="312" w:beforeLines="100"/>
        <w:ind w:left="420" w:leftChars="200"/>
        <w:rPr>
          <w:b/>
          <w:bCs/>
          <w:color w:val="auto"/>
          <w:sz w:val="28"/>
          <w:szCs w:val="28"/>
        </w:rPr>
      </w:pPr>
      <w:r>
        <w:rPr>
          <w:b/>
          <w:bCs/>
          <w:color w:val="auto"/>
          <w:sz w:val="28"/>
          <w:szCs w:val="28"/>
        </w:rPr>
        <w:t>三、专业核心课程</w:t>
      </w:r>
    </w:p>
    <w:p>
      <w:pPr>
        <w:ind w:firstLine="422" w:firstLineChars="200"/>
        <w:rPr>
          <w:rFonts w:ascii="仿宋" w:hAnsi="仿宋" w:eastAsia="仿宋"/>
          <w:b/>
          <w:color w:val="auto"/>
        </w:rPr>
      </w:pPr>
      <w:r>
        <w:rPr>
          <w:rFonts w:hint="eastAsia" w:ascii="仿宋" w:hAnsi="仿宋" w:eastAsia="仿宋"/>
          <w:b/>
          <w:color w:val="auto"/>
        </w:rPr>
        <w:t>(一) 数学和自然科学：</w:t>
      </w:r>
    </w:p>
    <w:p>
      <w:pPr>
        <w:ind w:firstLine="420" w:firstLineChars="200"/>
        <w:rPr>
          <w:rFonts w:ascii="仿宋" w:hAnsi="仿宋" w:eastAsia="仿宋"/>
          <w:bCs/>
          <w:color w:val="auto"/>
        </w:rPr>
      </w:pPr>
    </w:p>
    <w:p>
      <w:pPr>
        <w:ind w:firstLine="420" w:firstLineChars="200"/>
        <w:rPr>
          <w:rFonts w:ascii="仿宋" w:hAnsi="仿宋" w:eastAsia="仿宋"/>
          <w:bCs/>
          <w:color w:val="auto"/>
        </w:rPr>
      </w:pPr>
      <w:r>
        <w:rPr>
          <w:rFonts w:hint="eastAsia" w:ascii="仿宋" w:hAnsi="仿宋" w:eastAsia="仿宋"/>
          <w:bCs/>
          <w:color w:val="auto"/>
        </w:rPr>
        <w:t>高等数学（1）、高等数学（2）、线性代数、大学物理（1）、大学物理（2）、大学物理实验（1）、概率论与数理统计、工程数学。</w:t>
      </w:r>
    </w:p>
    <w:p>
      <w:pPr>
        <w:ind w:firstLine="422" w:firstLineChars="200"/>
        <w:rPr>
          <w:rFonts w:ascii="仿宋" w:hAnsi="仿宋" w:eastAsia="仿宋"/>
          <w:b/>
          <w:color w:val="auto"/>
        </w:rPr>
      </w:pPr>
      <w:r>
        <w:rPr>
          <w:rFonts w:hint="eastAsia" w:ascii="仿宋" w:hAnsi="仿宋" w:eastAsia="仿宋"/>
          <w:b/>
          <w:color w:val="auto"/>
        </w:rPr>
        <w:t>(二) 专业基础：</w:t>
      </w:r>
    </w:p>
    <w:p>
      <w:pPr>
        <w:ind w:firstLine="420" w:firstLineChars="200"/>
        <w:rPr>
          <w:rFonts w:ascii="仿宋" w:hAnsi="仿宋" w:eastAsia="仿宋"/>
          <w:bCs/>
          <w:color w:val="auto"/>
        </w:rPr>
      </w:pPr>
      <w:r>
        <w:rPr>
          <w:rFonts w:hint="eastAsia" w:ascii="仿宋" w:hAnsi="仿宋" w:eastAsia="仿宋"/>
          <w:bCs/>
          <w:color w:val="auto"/>
        </w:rPr>
        <w:t>电子信息技术导论、高级语言程序设计、电路基础、模拟电子技术、数字电路与逻辑设计、信号与系统、微机原 理、工程电磁场、高频电子线路、通信原理、数字信号处理、数据结构、传感器原理及应用、计算机网络</w:t>
      </w:r>
    </w:p>
    <w:p>
      <w:pPr>
        <w:ind w:firstLine="422" w:firstLineChars="200"/>
        <w:rPr>
          <w:rFonts w:ascii="仿宋" w:hAnsi="仿宋" w:eastAsia="仿宋"/>
          <w:b/>
          <w:color w:val="auto"/>
        </w:rPr>
      </w:pPr>
      <w:r>
        <w:rPr>
          <w:rFonts w:hint="eastAsia" w:ascii="仿宋" w:hAnsi="仿宋" w:eastAsia="仿宋"/>
          <w:b/>
          <w:color w:val="auto"/>
        </w:rPr>
        <w:t>(三) 专业选修课程：</w:t>
      </w:r>
    </w:p>
    <w:p>
      <w:pPr>
        <w:ind w:firstLine="420" w:firstLineChars="200"/>
        <w:rPr>
          <w:rFonts w:ascii="仿宋" w:hAnsi="仿宋" w:eastAsia="仿宋"/>
          <w:bCs/>
          <w:color w:val="auto"/>
        </w:rPr>
      </w:pPr>
      <w:r>
        <w:rPr>
          <w:rFonts w:hint="eastAsia" w:ascii="仿宋" w:hAnsi="仿宋" w:eastAsia="仿宋"/>
          <w:bCs/>
          <w:color w:val="auto"/>
        </w:rPr>
        <w:t>计算机实践基础、面向对象程序设计、Python 程序设计、操作系统原理、工程制图与 CAD、自动控制原理、计算 机视觉及应用、数据库系统与应用、虚拟仪器技术、CMOS 集成电路设计</w:t>
      </w:r>
    </w:p>
    <w:p>
      <w:pPr>
        <w:ind w:firstLine="422" w:firstLineChars="200"/>
        <w:rPr>
          <w:rFonts w:ascii="仿宋" w:hAnsi="仿宋" w:eastAsia="仿宋"/>
          <w:bCs/>
          <w:color w:val="auto"/>
        </w:rPr>
      </w:pPr>
      <w:r>
        <w:rPr>
          <w:rFonts w:hint="eastAsia" w:ascii="仿宋" w:hAnsi="仿宋" w:eastAsia="仿宋"/>
          <w:b/>
          <w:color w:val="auto"/>
        </w:rPr>
        <w:t>(四) 工程实践与毕业设计：</w:t>
      </w:r>
    </w:p>
    <w:p>
      <w:pPr>
        <w:ind w:firstLine="420" w:firstLineChars="200"/>
        <w:rPr>
          <w:rFonts w:ascii="仿宋" w:hAnsi="仿宋" w:eastAsia="仿宋"/>
          <w:bCs/>
          <w:color w:val="auto"/>
        </w:rPr>
      </w:pPr>
      <w:r>
        <w:rPr>
          <w:rFonts w:hint="eastAsia" w:ascii="仿宋" w:hAnsi="仿宋" w:eastAsia="仿宋"/>
          <w:bCs/>
          <w:color w:val="auto"/>
        </w:rPr>
        <w:t>高级语言程序设计实践、MATLAB 语言实践、电子工艺实训、电路与模拟电子技术实践、大学物理实验、数字电路与逻辑设计实验、电子技术课程设计、微机原理与接口技术实践、通信原理与系统实验、嵌入式系统与应用实践、电气与</w:t>
      </w:r>
      <w:r>
        <w:rPr>
          <w:rFonts w:hint="eastAsia" w:ascii="仿宋" w:hAnsi="仿宋" w:eastAsia="仿宋"/>
          <w:bCs/>
          <w:color w:val="auto"/>
          <w:lang w:val="en-US" w:eastAsia="zh-CN"/>
        </w:rPr>
        <w:t>PLC</w:t>
      </w:r>
      <w:r>
        <w:rPr>
          <w:rFonts w:hint="eastAsia" w:ascii="仿宋" w:hAnsi="仿宋" w:eastAsia="仿宋"/>
          <w:bCs/>
          <w:color w:val="auto"/>
        </w:rPr>
        <w:t>系统设计实训、计算机网络实训、物联网技术及应用实践、电子综合设计与实训、企业家论坛、技术标准与设计案例、认识实习、工作实习、毕业设计</w:t>
      </w:r>
    </w:p>
    <w:p>
      <w:pPr>
        <w:spacing w:before="312" w:beforeLines="100"/>
        <w:rPr>
          <w:b/>
          <w:bCs/>
          <w:color w:val="auto"/>
          <w:sz w:val="28"/>
          <w:szCs w:val="28"/>
        </w:rPr>
      </w:pPr>
      <w:r>
        <w:rPr>
          <w:bCs/>
          <w:color w:val="auto"/>
        </w:rPr>
        <w:t xml:space="preserve">  </w:t>
      </w:r>
      <w:r>
        <w:rPr>
          <w:b/>
          <w:bCs/>
          <w:color w:val="auto"/>
          <w:sz w:val="28"/>
          <w:szCs w:val="28"/>
        </w:rPr>
        <w:t xml:space="preserve">  四、主修专业毕业条件和学位授予</w:t>
      </w:r>
    </w:p>
    <w:p>
      <w:pPr>
        <w:spacing w:line="400" w:lineRule="exact"/>
        <w:jc w:val="center"/>
        <w:rPr>
          <w:rFonts w:ascii="Times New Roman" w:hAnsi="Times New Roman" w:eastAsia="仿宋" w:cs="Times New Roman"/>
          <w:b/>
          <w:color w:val="auto"/>
        </w:rPr>
      </w:pPr>
      <w:r>
        <w:rPr>
          <w:b/>
          <w:color w:val="auto"/>
          <w:sz w:val="24"/>
        </w:rPr>
        <w:t>毕业学分结构表</w:t>
      </w:r>
    </w:p>
    <w:tbl>
      <w:tblPr>
        <w:tblStyle w:val="12"/>
        <w:tblpPr w:leftFromText="180" w:rightFromText="180" w:vertAnchor="text" w:horzAnchor="page" w:tblpX="755" w:tblpY="263"/>
        <w:tblOverlap w:val="never"/>
        <w:tblW w:w="4998" w:type="pct"/>
        <w:tblInd w:w="0" w:type="dxa"/>
        <w:tblLayout w:type="autofit"/>
        <w:tblCellMar>
          <w:top w:w="15" w:type="dxa"/>
          <w:left w:w="15" w:type="dxa"/>
          <w:bottom w:w="15" w:type="dxa"/>
          <w:right w:w="15" w:type="dxa"/>
        </w:tblCellMar>
      </w:tblPr>
      <w:tblGrid>
        <w:gridCol w:w="1153"/>
        <w:gridCol w:w="873"/>
        <w:gridCol w:w="913"/>
        <w:gridCol w:w="1350"/>
        <w:gridCol w:w="1314"/>
        <w:gridCol w:w="1054"/>
        <w:gridCol w:w="945"/>
        <w:gridCol w:w="945"/>
        <w:gridCol w:w="682"/>
        <w:gridCol w:w="1263"/>
      </w:tblGrid>
      <w:tr>
        <w:tblPrEx>
          <w:tblCellMar>
            <w:top w:w="15" w:type="dxa"/>
            <w:left w:w="15" w:type="dxa"/>
            <w:bottom w:w="15" w:type="dxa"/>
            <w:right w:w="15" w:type="dxa"/>
          </w:tblCellMar>
        </w:tblPrEx>
        <w:trPr>
          <w:trHeight w:val="675" w:hRule="atLeast"/>
        </w:trPr>
        <w:tc>
          <w:tcPr>
            <w:tcW w:w="549"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sz w:val="22"/>
              </w:rPr>
            </w:pPr>
            <w:r>
              <w:rPr>
                <w:rFonts w:hint="eastAsia" w:ascii="楷体" w:hAnsi="楷体" w:eastAsia="楷体" w:cs="楷体"/>
                <w:b/>
                <w:color w:val="auto"/>
                <w:kern w:val="0"/>
                <w:sz w:val="22"/>
                <w:lang w:bidi="ar"/>
              </w:rPr>
              <w:t>毕业总学分</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kern w:val="0"/>
                <w:sz w:val="22"/>
                <w:lang w:bidi="ar"/>
              </w:rPr>
            </w:pPr>
            <w:r>
              <w:rPr>
                <w:rFonts w:hint="eastAsia" w:ascii="楷体" w:hAnsi="楷体" w:eastAsia="楷体" w:cs="楷体"/>
                <w:b/>
                <w:color w:val="auto"/>
                <w:kern w:val="0"/>
                <w:sz w:val="22"/>
                <w:lang w:bidi="ar"/>
              </w:rPr>
              <w:t>公共教育（学分）</w:t>
            </w:r>
          </w:p>
        </w:tc>
        <w:tc>
          <w:tcPr>
            <w:tcW w:w="1727"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kern w:val="2"/>
                <w:sz w:val="22"/>
                <w:szCs w:val="24"/>
                <w:lang w:val="en-US" w:eastAsia="zh-CN" w:bidi="ar-SA"/>
              </w:rPr>
            </w:pPr>
            <w:r>
              <w:rPr>
                <w:rFonts w:hint="eastAsia" w:ascii="楷体" w:hAnsi="楷体" w:eastAsia="楷体" w:cs="楷体"/>
                <w:b/>
                <w:color w:val="auto"/>
                <w:kern w:val="0"/>
                <w:sz w:val="22"/>
                <w:lang w:bidi="ar"/>
              </w:rPr>
              <w:t>专业教育（</w:t>
            </w:r>
            <w:r>
              <w:rPr>
                <w:rFonts w:hint="eastAsia" w:ascii="楷体" w:hAnsi="楷体" w:eastAsia="楷体" w:cs="楷体"/>
                <w:b/>
                <w:color w:val="auto"/>
                <w:kern w:val="0"/>
                <w:sz w:val="22"/>
                <w:lang w:val="en-US" w:eastAsia="zh-CN" w:bidi="ar"/>
              </w:rPr>
              <w:t>103</w:t>
            </w:r>
            <w:r>
              <w:rPr>
                <w:rFonts w:ascii="楷体" w:hAnsi="楷体" w:eastAsia="楷体" w:cs="楷体"/>
                <w:b/>
                <w:color w:val="auto"/>
                <w:kern w:val="0"/>
                <w:sz w:val="22"/>
                <w:lang w:bidi="ar"/>
              </w:rPr>
              <w:t>学分</w:t>
            </w:r>
            <w:r>
              <w:rPr>
                <w:rFonts w:hint="eastAsia" w:ascii="楷体" w:hAnsi="楷体" w:eastAsia="楷体" w:cs="楷体"/>
                <w:b/>
                <w:color w:val="auto"/>
                <w:kern w:val="0"/>
                <w:sz w:val="22"/>
                <w:lang w:bidi="ar"/>
              </w:rPr>
              <w:t>）</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sz w:val="22"/>
              </w:rPr>
            </w:pPr>
            <w:r>
              <w:rPr>
                <w:rFonts w:hint="eastAsia" w:ascii="楷体" w:hAnsi="楷体" w:eastAsia="楷体" w:cs="楷体"/>
                <w:b/>
                <w:color w:val="auto"/>
                <w:kern w:val="0"/>
                <w:sz w:val="22"/>
                <w:lang w:bidi="ar"/>
              </w:rPr>
              <w:t>成长教育（</w:t>
            </w:r>
            <w:r>
              <w:rPr>
                <w:rFonts w:hint="eastAsia" w:ascii="Times New Roman" w:hAnsi="Times New Roman" w:cs="Times New Roman"/>
                <w:b/>
                <w:bCs/>
                <w:color w:val="auto"/>
                <w:sz w:val="22"/>
                <w:szCs w:val="22"/>
              </w:rPr>
              <w:t>10</w:t>
            </w:r>
            <w:r>
              <w:rPr>
                <w:rFonts w:hint="eastAsia" w:ascii="楷体" w:hAnsi="楷体" w:eastAsia="楷体" w:cs="楷体"/>
                <w:b/>
                <w:color w:val="auto"/>
                <w:kern w:val="0"/>
                <w:sz w:val="22"/>
                <w:lang w:bidi="ar"/>
              </w:rPr>
              <w:t>学分）</w:t>
            </w:r>
          </w:p>
        </w:tc>
      </w:tr>
      <w:tr>
        <w:tblPrEx>
          <w:tblCellMar>
            <w:top w:w="15" w:type="dxa"/>
            <w:left w:w="15" w:type="dxa"/>
            <w:bottom w:w="15" w:type="dxa"/>
            <w:right w:w="15" w:type="dxa"/>
          </w:tblCellMar>
        </w:tblPrEx>
        <w:trPr>
          <w:trHeight w:val="405" w:hRule="atLeast"/>
        </w:trPr>
        <w:tc>
          <w:tcPr>
            <w:tcW w:w="549" w:type="pct"/>
            <w:vMerge w:val="continue"/>
            <w:tcBorders>
              <w:left w:val="single" w:color="000000" w:sz="4" w:space="0"/>
              <w:right w:val="single" w:color="000000" w:sz="4" w:space="0"/>
            </w:tcBorders>
            <w:noWrap w:val="0"/>
            <w:vAlign w:val="center"/>
          </w:tcPr>
          <w:p>
            <w:pPr>
              <w:jc w:val="center"/>
              <w:rPr>
                <w:rFonts w:ascii="楷体" w:hAnsi="楷体" w:eastAsia="楷体" w:cs="楷体"/>
                <w:b/>
                <w:color w:val="auto"/>
                <w:sz w:val="22"/>
              </w:rPr>
            </w:pPr>
          </w:p>
        </w:tc>
        <w:tc>
          <w:tcPr>
            <w:tcW w:w="416"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bidi="ar"/>
              </w:rPr>
            </w:pPr>
            <w:r>
              <w:rPr>
                <w:rFonts w:hint="eastAsia" w:ascii="楷体" w:hAnsi="楷体" w:eastAsia="楷体" w:cs="楷体"/>
                <w:b/>
                <w:color w:val="auto"/>
                <w:kern w:val="0"/>
                <w:sz w:val="22"/>
                <w:lang w:bidi="ar"/>
              </w:rPr>
              <w:t>公共必修</w:t>
            </w:r>
          </w:p>
        </w:tc>
        <w:tc>
          <w:tcPr>
            <w:tcW w:w="435"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楷体" w:hAnsi="楷体" w:eastAsia="楷体" w:cs="楷体"/>
                <w:b/>
                <w:color w:val="auto"/>
                <w:kern w:val="0"/>
                <w:sz w:val="22"/>
                <w:lang w:val="en-US" w:eastAsia="zh-CN" w:bidi="ar"/>
              </w:rPr>
            </w:pPr>
            <w:r>
              <w:rPr>
                <w:rFonts w:hint="eastAsia" w:ascii="楷体" w:hAnsi="楷体" w:eastAsia="楷体" w:cs="楷体"/>
                <w:b/>
                <w:color w:val="auto"/>
                <w:kern w:val="0"/>
                <w:sz w:val="22"/>
                <w:lang w:val="en-US" w:eastAsia="zh-CN" w:bidi="ar"/>
              </w:rPr>
              <w:t>通识必修</w:t>
            </w:r>
          </w:p>
        </w:tc>
        <w:tc>
          <w:tcPr>
            <w:tcW w:w="1269" w:type="pct"/>
            <w:gridSpan w:val="2"/>
            <w:tcBorders>
              <w:top w:val="single" w:color="000000" w:sz="4" w:space="0"/>
              <w:left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sz w:val="22"/>
              </w:rPr>
            </w:pPr>
            <w:r>
              <w:rPr>
                <w:rFonts w:hint="eastAsia" w:ascii="楷体" w:hAnsi="楷体" w:eastAsia="楷体" w:cs="楷体"/>
                <w:b/>
                <w:color w:val="auto"/>
                <w:kern w:val="0"/>
                <w:sz w:val="22"/>
                <w:lang w:bidi="ar"/>
              </w:rPr>
              <w:t>公共选修</w:t>
            </w:r>
          </w:p>
        </w:tc>
        <w:tc>
          <w:tcPr>
            <w:tcW w:w="1402" w:type="pct"/>
            <w:gridSpan w:val="3"/>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楷体" w:hAnsi="楷体" w:eastAsia="楷体" w:cs="楷体"/>
                <w:b/>
                <w:color w:val="auto"/>
                <w:kern w:val="2"/>
                <w:sz w:val="22"/>
                <w:szCs w:val="24"/>
                <w:lang w:val="en-US" w:eastAsia="zh-CN" w:bidi="ar-SA"/>
              </w:rPr>
            </w:pPr>
            <w:r>
              <w:rPr>
                <w:rFonts w:hint="eastAsia" w:ascii="楷体" w:hAnsi="楷体" w:eastAsia="楷体" w:cs="楷体"/>
                <w:b/>
                <w:color w:val="auto"/>
                <w:sz w:val="22"/>
              </w:rPr>
              <w:t>专业必修</w:t>
            </w:r>
          </w:p>
        </w:tc>
        <w:tc>
          <w:tcPr>
            <w:tcW w:w="325" w:type="pct"/>
            <w:vMerge w:val="restart"/>
            <w:tcBorders>
              <w:top w:val="single" w:color="000000" w:sz="4" w:space="0"/>
              <w:left w:val="single" w:color="000000" w:sz="4" w:space="0"/>
              <w:right w:val="single" w:color="000000" w:sz="4" w:space="0"/>
            </w:tcBorders>
            <w:noWrap w:val="0"/>
            <w:vAlign w:val="center"/>
          </w:tcPr>
          <w:p>
            <w:pPr>
              <w:jc w:val="center"/>
              <w:rPr>
                <w:rFonts w:ascii="楷体" w:hAnsi="楷体" w:eastAsia="楷体" w:cs="楷体"/>
                <w:b/>
                <w:color w:val="auto"/>
                <w:kern w:val="2"/>
                <w:sz w:val="22"/>
                <w:szCs w:val="24"/>
                <w:lang w:val="en-US" w:eastAsia="zh-CN" w:bidi="ar-SA"/>
              </w:rPr>
            </w:pPr>
            <w:r>
              <w:rPr>
                <w:rFonts w:hint="eastAsia" w:ascii="楷体" w:hAnsi="楷体" w:eastAsia="楷体" w:cs="楷体"/>
                <w:b/>
                <w:color w:val="auto"/>
                <w:sz w:val="22"/>
              </w:rPr>
              <w:t>专业选修</w:t>
            </w:r>
          </w:p>
        </w:tc>
        <w:tc>
          <w:tcPr>
            <w:tcW w:w="601"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val="en-US" w:eastAsia="zh-CN" w:bidi="ar"/>
              </w:rPr>
            </w:pPr>
            <w:r>
              <w:rPr>
                <w:rFonts w:hint="eastAsia" w:ascii="楷体" w:hAnsi="楷体" w:eastAsia="楷体" w:cs="楷体"/>
                <w:b/>
                <w:color w:val="auto"/>
                <w:kern w:val="0"/>
                <w:sz w:val="22"/>
                <w:lang w:bidi="ar"/>
              </w:rPr>
              <w:t>学生成长教育</w:t>
            </w:r>
            <w:r>
              <w:rPr>
                <w:rFonts w:hint="eastAsia" w:ascii="楷体" w:hAnsi="楷体" w:eastAsia="楷体" w:cs="楷体"/>
                <w:b/>
                <w:color w:val="auto"/>
                <w:kern w:val="0"/>
                <w:sz w:val="22"/>
                <w:lang w:val="en-US" w:eastAsia="zh-CN" w:bidi="ar"/>
              </w:rPr>
              <w:t>课</w:t>
            </w:r>
          </w:p>
        </w:tc>
      </w:tr>
      <w:tr>
        <w:tblPrEx>
          <w:tblCellMar>
            <w:top w:w="15" w:type="dxa"/>
            <w:left w:w="15" w:type="dxa"/>
            <w:bottom w:w="15" w:type="dxa"/>
            <w:right w:w="15" w:type="dxa"/>
          </w:tblCellMar>
        </w:tblPrEx>
        <w:trPr>
          <w:trHeight w:val="2001" w:hRule="atLeast"/>
        </w:trPr>
        <w:tc>
          <w:tcPr>
            <w:tcW w:w="549" w:type="pct"/>
            <w:vMerge w:val="continue"/>
            <w:tcBorders>
              <w:left w:val="single" w:color="000000" w:sz="4" w:space="0"/>
              <w:right w:val="single" w:color="000000" w:sz="4" w:space="0"/>
            </w:tcBorders>
            <w:noWrap w:val="0"/>
            <w:vAlign w:val="center"/>
          </w:tcPr>
          <w:p>
            <w:pPr>
              <w:widowControl/>
              <w:jc w:val="center"/>
              <w:textAlignment w:val="center"/>
              <w:rPr>
                <w:color w:val="auto"/>
              </w:rPr>
            </w:pPr>
          </w:p>
        </w:tc>
        <w:tc>
          <w:tcPr>
            <w:tcW w:w="416" w:type="pct"/>
            <w:vMerge w:val="continue"/>
            <w:tcBorders>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bidi="ar"/>
              </w:rPr>
            </w:pPr>
          </w:p>
        </w:tc>
        <w:tc>
          <w:tcPr>
            <w:tcW w:w="435" w:type="pct"/>
            <w:vMerge w:val="continue"/>
            <w:tcBorders>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bidi="ar"/>
              </w:rPr>
            </w:pPr>
          </w:p>
        </w:tc>
        <w:tc>
          <w:tcPr>
            <w:tcW w:w="643" w:type="pct"/>
            <w:tcBorders>
              <w:top w:val="single" w:color="000000" w:sz="4" w:space="0"/>
              <w:left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kern w:val="0"/>
                <w:sz w:val="22"/>
                <w:lang w:bidi="ar"/>
              </w:rPr>
            </w:pPr>
            <w:r>
              <w:rPr>
                <w:rFonts w:hint="eastAsia" w:ascii="楷体" w:hAnsi="楷体" w:eastAsia="楷体" w:cs="楷体"/>
                <w:b/>
                <w:color w:val="auto"/>
                <w:kern w:val="0"/>
                <w:sz w:val="22"/>
                <w:lang w:bidi="ar"/>
              </w:rPr>
              <w:t>美育限定性选修课</w:t>
            </w:r>
          </w:p>
        </w:tc>
        <w:tc>
          <w:tcPr>
            <w:tcW w:w="626"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楷体" w:hAnsi="楷体" w:eastAsia="楷体" w:cs="楷体"/>
                <w:b/>
                <w:color w:val="auto"/>
                <w:kern w:val="0"/>
                <w:sz w:val="22"/>
                <w:lang w:val="en-US" w:eastAsia="zh-CN" w:bidi="ar"/>
              </w:rPr>
            </w:pPr>
            <w:r>
              <w:rPr>
                <w:rFonts w:hint="eastAsia" w:ascii="楷体" w:hAnsi="楷体" w:eastAsia="楷体" w:cs="楷体"/>
                <w:b/>
                <w:color w:val="auto"/>
                <w:kern w:val="0"/>
                <w:sz w:val="22"/>
                <w:lang w:val="en-US" w:eastAsia="zh-CN" w:bidi="ar"/>
              </w:rPr>
              <w:t>校级公选课和学术报告型公选课</w:t>
            </w:r>
          </w:p>
        </w:tc>
        <w:tc>
          <w:tcPr>
            <w:tcW w:w="502" w:type="pc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szCs w:val="24"/>
                <w:lang w:val="en-US" w:eastAsia="zh-CN" w:bidi="ar"/>
              </w:rPr>
            </w:pPr>
            <w:r>
              <w:rPr>
                <w:rFonts w:hint="eastAsia" w:ascii="楷体" w:hAnsi="楷体" w:eastAsia="楷体" w:cs="楷体"/>
                <w:b/>
                <w:color w:val="auto"/>
                <w:kern w:val="0"/>
                <w:sz w:val="22"/>
                <w:lang w:bidi="ar"/>
              </w:rPr>
              <w:t>数学与自然科学</w:t>
            </w:r>
          </w:p>
        </w:tc>
        <w:tc>
          <w:tcPr>
            <w:tcW w:w="450" w:type="pc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szCs w:val="24"/>
                <w:lang w:val="en-US" w:eastAsia="zh-CN" w:bidi="ar"/>
              </w:rPr>
            </w:pPr>
            <w:r>
              <w:rPr>
                <w:rFonts w:hint="eastAsia" w:ascii="楷体" w:hAnsi="楷体" w:eastAsia="楷体" w:cs="楷体"/>
                <w:b/>
                <w:color w:val="auto"/>
                <w:kern w:val="0"/>
                <w:sz w:val="22"/>
                <w:lang w:bidi="ar"/>
              </w:rPr>
              <w:t>专业基础</w:t>
            </w:r>
          </w:p>
        </w:tc>
        <w:tc>
          <w:tcPr>
            <w:tcW w:w="450" w:type="pc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szCs w:val="24"/>
                <w:lang w:val="en-US" w:eastAsia="zh-CN" w:bidi="ar"/>
              </w:rPr>
            </w:pPr>
            <w:r>
              <w:rPr>
                <w:rFonts w:hint="eastAsia" w:ascii="楷体" w:hAnsi="楷体" w:eastAsia="楷体" w:cs="楷体"/>
                <w:b/>
                <w:color w:val="auto"/>
                <w:sz w:val="22"/>
              </w:rPr>
              <w:t>工程实践类</w:t>
            </w:r>
          </w:p>
        </w:tc>
        <w:tc>
          <w:tcPr>
            <w:tcW w:w="325" w:type="pct"/>
            <w:vMerge w:val="continue"/>
            <w:tcBorders>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szCs w:val="24"/>
                <w:lang w:val="en-US" w:eastAsia="zh-CN" w:bidi="ar"/>
              </w:rPr>
            </w:pPr>
          </w:p>
        </w:tc>
        <w:tc>
          <w:tcPr>
            <w:tcW w:w="601"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val="en-US" w:eastAsia="zh-CN" w:bidi="ar"/>
              </w:rPr>
            </w:pPr>
          </w:p>
        </w:tc>
      </w:tr>
      <w:tr>
        <w:tblPrEx>
          <w:tblCellMar>
            <w:top w:w="15" w:type="dxa"/>
            <w:left w:w="15" w:type="dxa"/>
            <w:bottom w:w="15" w:type="dxa"/>
            <w:right w:w="15" w:type="dxa"/>
          </w:tblCellMar>
        </w:tblPrEx>
        <w:trPr>
          <w:trHeight w:val="685" w:hRule="atLeast"/>
        </w:trPr>
        <w:tc>
          <w:tcPr>
            <w:tcW w:w="54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楷体" w:hAnsi="楷体" w:eastAsia="楷体" w:cs="楷体"/>
                <w:b/>
                <w:color w:val="auto"/>
                <w:sz w:val="22"/>
              </w:rPr>
            </w:pPr>
            <w:r>
              <w:rPr>
                <w:rFonts w:hint="eastAsia" w:ascii="楷体" w:hAnsi="楷体" w:eastAsia="楷体" w:cs="楷体"/>
                <w:b/>
                <w:color w:val="auto"/>
                <w:sz w:val="22"/>
              </w:rPr>
              <w:t>1</w:t>
            </w:r>
            <w:r>
              <w:rPr>
                <w:rFonts w:ascii="楷体" w:hAnsi="楷体" w:eastAsia="楷体" w:cs="楷体"/>
                <w:b/>
                <w:color w:val="auto"/>
                <w:sz w:val="22"/>
              </w:rPr>
              <w:t>56</w:t>
            </w:r>
            <w:r>
              <w:rPr>
                <w:rFonts w:hint="eastAsia" w:ascii="楷体" w:hAnsi="楷体" w:eastAsia="楷体" w:cs="楷体"/>
                <w:b/>
                <w:bCs/>
                <w:color w:val="auto"/>
                <w:sz w:val="22"/>
                <w:szCs w:val="22"/>
              </w:rPr>
              <w:t>+（</w:t>
            </w:r>
            <w:r>
              <w:rPr>
                <w:rFonts w:hint="eastAsia" w:ascii="Times New Roman" w:hAnsi="Times New Roman" w:cs="Times New Roman"/>
                <w:b/>
                <w:bCs/>
                <w:color w:val="auto"/>
                <w:sz w:val="22"/>
                <w:szCs w:val="22"/>
              </w:rPr>
              <w:t>10</w:t>
            </w:r>
            <w:r>
              <w:rPr>
                <w:rFonts w:hint="eastAsia" w:ascii="楷体" w:hAnsi="楷体" w:eastAsia="楷体" w:cs="楷体"/>
                <w:b/>
                <w:bCs/>
                <w:color w:val="auto"/>
                <w:sz w:val="22"/>
                <w:szCs w:val="22"/>
              </w:rPr>
              <w:t>）</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color w:val="auto"/>
                <w:sz w:val="22"/>
                <w:lang w:val="en-US" w:eastAsia="zh-CN"/>
              </w:rPr>
            </w:pPr>
            <w:r>
              <w:rPr>
                <w:rFonts w:hint="eastAsia" w:eastAsia="宋体"/>
                <w:b/>
                <w:color w:val="auto"/>
                <w:sz w:val="22"/>
                <w:lang w:val="en-US" w:eastAsia="zh-CN"/>
              </w:rPr>
              <w:t>32</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b/>
                <w:color w:val="auto"/>
                <w:sz w:val="22"/>
                <w:lang w:val="en-US" w:eastAsia="zh-CN"/>
              </w:rPr>
            </w:pPr>
            <w:r>
              <w:rPr>
                <w:rFonts w:hint="eastAsia" w:eastAsia="宋体"/>
                <w:b/>
                <w:color w:val="auto"/>
                <w:sz w:val="22"/>
                <w:lang w:val="en-US" w:eastAsia="zh-CN"/>
              </w:rPr>
              <w:t>13</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b/>
                <w:color w:val="auto"/>
                <w:sz w:val="22"/>
                <w:lang w:val="en-US" w:eastAsia="zh-CN"/>
              </w:rPr>
            </w:pPr>
            <w:r>
              <w:rPr>
                <w:rFonts w:hint="eastAsia"/>
                <w:b/>
                <w:color w:val="auto"/>
                <w:sz w:val="22"/>
                <w:lang w:val="en-US" w:eastAsia="zh-CN"/>
              </w:rPr>
              <w:t>2</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color w:val="auto"/>
                <w:sz w:val="22"/>
                <w:lang w:val="en-US" w:eastAsia="zh-CN"/>
              </w:rPr>
            </w:pPr>
            <w:r>
              <w:rPr>
                <w:rFonts w:hint="eastAsia" w:ascii="Times New Roman" w:hAnsi="Times New Roman" w:eastAsia="宋体" w:cs="Times New Roman"/>
                <w:b/>
                <w:color w:val="auto"/>
                <w:sz w:val="22"/>
                <w:lang w:val="en-US" w:eastAsia="zh-CN"/>
              </w:rPr>
              <w:t>6</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jc w:val="center"/>
              <w:rPr>
                <w:b/>
                <w:color w:val="auto"/>
                <w:kern w:val="2"/>
                <w:sz w:val="22"/>
                <w:szCs w:val="24"/>
                <w:lang w:val="en-US" w:eastAsia="zh-CN" w:bidi="ar-SA"/>
              </w:rPr>
            </w:pPr>
            <w:r>
              <w:rPr>
                <w:rFonts w:hint="eastAsia"/>
                <w:b/>
                <w:color w:val="auto"/>
                <w:sz w:val="22"/>
              </w:rPr>
              <w:t>2</w:t>
            </w:r>
            <w:r>
              <w:rPr>
                <w:b/>
                <w:color w:val="auto"/>
                <w:sz w:val="22"/>
              </w:rPr>
              <w:t>4</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color w:val="auto"/>
                <w:kern w:val="2"/>
                <w:sz w:val="22"/>
                <w:szCs w:val="24"/>
                <w:lang w:val="en-US" w:eastAsia="zh-CN" w:bidi="ar-SA"/>
              </w:rPr>
            </w:pPr>
            <w:r>
              <w:rPr>
                <w:rFonts w:hint="eastAsia"/>
                <w:b/>
                <w:color w:val="auto"/>
                <w:sz w:val="22"/>
                <w:lang w:val="en-US" w:eastAsia="zh-CN"/>
              </w:rPr>
              <w:t>35</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color w:val="auto"/>
                <w:kern w:val="2"/>
                <w:sz w:val="22"/>
                <w:szCs w:val="24"/>
                <w:lang w:val="en-US" w:eastAsia="zh-CN" w:bidi="ar-SA"/>
              </w:rPr>
            </w:pPr>
            <w:r>
              <w:rPr>
                <w:rFonts w:hint="eastAsia"/>
                <w:b/>
                <w:color w:val="auto"/>
                <w:sz w:val="22"/>
              </w:rPr>
              <w:t>3</w:t>
            </w:r>
            <w:r>
              <w:rPr>
                <w:rFonts w:hint="eastAsia"/>
                <w:b/>
                <w:color w:val="auto"/>
                <w:sz w:val="22"/>
                <w:lang w:val="en-US" w:eastAsia="zh-CN"/>
              </w:rPr>
              <w:t>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color w:val="auto"/>
                <w:kern w:val="2"/>
                <w:sz w:val="22"/>
                <w:szCs w:val="24"/>
                <w:lang w:val="en-US" w:eastAsia="zh-CN" w:bidi="ar-SA"/>
              </w:rPr>
            </w:pPr>
            <w:r>
              <w:rPr>
                <w:rFonts w:hint="eastAsia"/>
                <w:b/>
                <w:color w:val="auto"/>
                <w:sz w:val="22"/>
                <w:lang w:val="en-US" w:eastAsia="zh-CN"/>
              </w:rPr>
              <w:t>12</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jc w:val="center"/>
              <w:rPr>
                <w:b/>
                <w:color w:val="auto"/>
                <w:sz w:val="22"/>
              </w:rPr>
            </w:pPr>
            <w:r>
              <w:rPr>
                <w:rFonts w:hint="eastAsia" w:ascii="Times New Roman" w:hAnsi="Times New Roman" w:cs="Times New Roman"/>
                <w:b/>
                <w:bCs/>
                <w:color w:val="auto"/>
                <w:sz w:val="22"/>
                <w:szCs w:val="22"/>
              </w:rPr>
              <w:t>10</w:t>
            </w:r>
          </w:p>
        </w:tc>
      </w:tr>
    </w:tbl>
    <w:p>
      <w:pPr>
        <w:pStyle w:val="6"/>
        <w:spacing w:line="400" w:lineRule="exact"/>
        <w:rPr>
          <w:rFonts w:ascii="Times New Roman" w:hAnsi="Times New Roman" w:eastAsia="仿宋" w:cs="Times New Roman"/>
          <w:b/>
          <w:color w:val="auto"/>
        </w:rPr>
      </w:pPr>
      <w:r>
        <w:rPr>
          <w:rFonts w:ascii="Times New Roman" w:hAnsi="Times New Roman" w:eastAsia="仿宋" w:cs="Times New Roman"/>
          <w:b/>
          <w:color w:val="auto"/>
        </w:rPr>
        <w:t>备注：</w:t>
      </w:r>
      <w:r>
        <w:rPr>
          <w:rFonts w:hint="eastAsia" w:ascii="Times New Roman" w:hAnsi="Times New Roman" w:eastAsia="仿宋" w:cs="Times New Roman"/>
          <w:b/>
          <w:color w:val="auto"/>
        </w:rPr>
        <w:t>1.</w:t>
      </w:r>
      <w:r>
        <w:rPr>
          <w:rFonts w:ascii="Times New Roman" w:hAnsi="Times New Roman" w:eastAsia="仿宋" w:cs="Times New Roman"/>
          <w:b/>
          <w:color w:val="auto"/>
        </w:rPr>
        <w:t>该学分结构表显示了本专业学生毕业的最低</w:t>
      </w:r>
      <w:r>
        <w:rPr>
          <w:rFonts w:hint="eastAsia" w:ascii="Times New Roman" w:hAnsi="Times New Roman" w:eastAsia="仿宋" w:cs="Times New Roman"/>
          <w:b/>
          <w:color w:val="auto"/>
        </w:rPr>
        <w:t>修读</w:t>
      </w:r>
      <w:r>
        <w:rPr>
          <w:rFonts w:ascii="Times New Roman" w:hAnsi="Times New Roman" w:eastAsia="仿宋" w:cs="Times New Roman"/>
          <w:b/>
          <w:color w:val="auto"/>
        </w:rPr>
        <w:t>总学分要求和各</w:t>
      </w:r>
      <w:r>
        <w:rPr>
          <w:rFonts w:hint="eastAsia" w:ascii="Times New Roman" w:hAnsi="Times New Roman" w:eastAsia="仿宋" w:cs="Times New Roman"/>
          <w:b/>
          <w:color w:val="auto"/>
        </w:rPr>
        <w:t>类课程</w:t>
      </w:r>
      <w:r>
        <w:rPr>
          <w:rFonts w:ascii="Times New Roman" w:hAnsi="Times New Roman" w:eastAsia="仿宋" w:cs="Times New Roman"/>
          <w:b/>
          <w:color w:val="auto"/>
        </w:rPr>
        <w:t>下的</w:t>
      </w:r>
      <w:r>
        <w:rPr>
          <w:rFonts w:hint="eastAsia" w:ascii="Times New Roman" w:hAnsi="Times New Roman" w:eastAsia="仿宋" w:cs="Times New Roman"/>
          <w:b/>
          <w:color w:val="auto"/>
        </w:rPr>
        <w:t>最低修读</w:t>
      </w:r>
      <w:r>
        <w:rPr>
          <w:rFonts w:ascii="Times New Roman" w:hAnsi="Times New Roman" w:eastAsia="仿宋" w:cs="Times New Roman"/>
          <w:b/>
          <w:color w:val="auto"/>
        </w:rPr>
        <w:t>学分组成</w:t>
      </w:r>
      <w:r>
        <w:rPr>
          <w:rFonts w:hint="eastAsia" w:ascii="Times New Roman" w:hAnsi="Times New Roman" w:eastAsia="仿宋" w:cs="Times New Roman"/>
          <w:b/>
          <w:color w:val="auto"/>
        </w:rPr>
        <w:t>。</w:t>
      </w:r>
    </w:p>
    <w:p>
      <w:pPr>
        <w:spacing w:before="156" w:beforeLines="50" w:line="400" w:lineRule="exact"/>
        <w:ind w:firstLine="482" w:firstLineChars="200"/>
        <w:rPr>
          <w:rFonts w:eastAsia="仿宋"/>
          <w:b/>
          <w:bCs/>
          <w:color w:val="auto"/>
          <w:sz w:val="28"/>
          <w:szCs w:val="28"/>
        </w:rPr>
      </w:pPr>
      <w:r>
        <w:rPr>
          <w:rFonts w:eastAsia="仿宋"/>
          <w:b/>
          <w:bCs/>
          <w:color w:val="auto"/>
          <w:sz w:val="24"/>
        </w:rPr>
        <w:t>（一）毕业条件</w:t>
      </w:r>
    </w:p>
    <w:p>
      <w:pPr>
        <w:spacing w:line="400" w:lineRule="exact"/>
        <w:ind w:firstLine="420" w:firstLineChars="200"/>
        <w:rPr>
          <w:color w:val="auto"/>
          <w:szCs w:val="21"/>
        </w:rPr>
      </w:pPr>
      <w:r>
        <w:rPr>
          <w:color w:val="auto"/>
          <w:szCs w:val="21"/>
        </w:rPr>
        <w:t>学生申请以</w:t>
      </w:r>
      <w:r>
        <w:rPr>
          <w:rFonts w:hint="eastAsia"/>
          <w:color w:val="auto"/>
          <w:szCs w:val="21"/>
        </w:rPr>
        <w:t>电子信息科学与技术专业</w:t>
      </w:r>
      <w:r>
        <w:rPr>
          <w:color w:val="auto"/>
          <w:szCs w:val="21"/>
        </w:rPr>
        <w:t>毕业，须符合以下全部条件后，准予毕业，并发给毕业证书：</w:t>
      </w:r>
    </w:p>
    <w:p>
      <w:pPr>
        <w:spacing w:line="400" w:lineRule="exact"/>
        <w:ind w:firstLine="420" w:firstLineChars="200"/>
        <w:rPr>
          <w:color w:val="auto"/>
          <w:szCs w:val="21"/>
        </w:rPr>
      </w:pPr>
      <w:r>
        <w:rPr>
          <w:color w:val="auto"/>
          <w:szCs w:val="21"/>
        </w:rPr>
        <w:t>1.在学院允许的学习年限内，即3~7年。</w:t>
      </w:r>
    </w:p>
    <w:p>
      <w:pPr>
        <w:spacing w:line="400" w:lineRule="exact"/>
        <w:ind w:firstLine="420" w:firstLineChars="200"/>
        <w:rPr>
          <w:color w:val="auto"/>
          <w:szCs w:val="21"/>
        </w:rPr>
      </w:pPr>
      <w:r>
        <w:rPr>
          <w:color w:val="auto"/>
          <w:szCs w:val="21"/>
        </w:rPr>
        <w:t>2.取得</w:t>
      </w:r>
      <w:r>
        <w:rPr>
          <w:rFonts w:hint="eastAsia"/>
          <w:color w:val="auto"/>
          <w:szCs w:val="21"/>
        </w:rPr>
        <w:t>电子信息科学与技术专业</w:t>
      </w:r>
      <w:r>
        <w:rPr>
          <w:color w:val="auto"/>
          <w:szCs w:val="21"/>
        </w:rPr>
        <w:t>规定的最低毕业总学分</w:t>
      </w:r>
      <w:r>
        <w:rPr>
          <w:rFonts w:hint="eastAsia"/>
          <w:b/>
          <w:bCs/>
          <w:color w:val="auto"/>
          <w:szCs w:val="21"/>
        </w:rPr>
        <w:t>1</w:t>
      </w:r>
      <w:r>
        <w:rPr>
          <w:b/>
          <w:bCs/>
          <w:color w:val="auto"/>
          <w:szCs w:val="21"/>
        </w:rPr>
        <w:t>56</w:t>
      </w:r>
      <w:r>
        <w:rPr>
          <w:rFonts w:hint="eastAsia" w:eastAsia="仿宋"/>
          <w:b/>
          <w:bCs/>
          <w:color w:val="auto"/>
          <w:szCs w:val="21"/>
        </w:rPr>
        <w:t>+</w:t>
      </w:r>
      <w:r>
        <w:rPr>
          <w:rFonts w:hint="eastAsia"/>
          <w:b/>
          <w:bCs/>
          <w:color w:val="auto"/>
          <w:szCs w:val="21"/>
        </w:rPr>
        <w:t>（10）</w:t>
      </w:r>
      <w:r>
        <w:rPr>
          <w:color w:val="auto"/>
          <w:szCs w:val="21"/>
        </w:rPr>
        <w:t>学分</w:t>
      </w:r>
      <w:r>
        <w:rPr>
          <w:rFonts w:hint="eastAsia"/>
          <w:color w:val="auto"/>
          <w:szCs w:val="21"/>
        </w:rPr>
        <w:t>，其中：</w:t>
      </w:r>
    </w:p>
    <w:p>
      <w:pPr>
        <w:pStyle w:val="6"/>
        <w:spacing w:line="400" w:lineRule="exact"/>
        <w:ind w:firstLine="420" w:firstLineChars="200"/>
        <w:rPr>
          <w:rFonts w:hint="default" w:hAnsi="Courier New" w:eastAsia="宋体" w:cs="Courier New"/>
          <w:bCs/>
          <w:color w:val="auto"/>
          <w:lang w:val="en-US" w:eastAsia="zh-CN"/>
        </w:rPr>
      </w:pPr>
      <w:r>
        <w:rPr>
          <w:rFonts w:hint="eastAsia" w:hAnsi="Courier New" w:eastAsia="宋体" w:cs="Courier New"/>
          <w:bCs/>
          <w:color w:val="auto"/>
        </w:rPr>
        <w:t>公共教育类包含：公共必修课</w:t>
      </w:r>
      <w:r>
        <w:rPr>
          <w:rFonts w:hint="eastAsia" w:hAnsi="Courier New" w:eastAsia="宋体" w:cs="Courier New"/>
          <w:bCs/>
          <w:color w:val="auto"/>
          <w:lang w:val="en-US" w:eastAsia="zh-CN"/>
        </w:rPr>
        <w:t>32</w:t>
      </w:r>
      <w:r>
        <w:rPr>
          <w:rFonts w:hint="eastAsia" w:hAnsi="Courier New" w:eastAsia="宋体" w:cs="Courier New"/>
          <w:bCs/>
          <w:color w:val="auto"/>
        </w:rPr>
        <w:t>学分、</w:t>
      </w:r>
      <w:r>
        <w:rPr>
          <w:rFonts w:hint="eastAsia" w:hAnsi="Courier New" w:eastAsia="宋体" w:cs="Courier New"/>
          <w:bCs/>
          <w:color w:val="auto"/>
          <w:lang w:val="en-US" w:eastAsia="zh-CN"/>
        </w:rPr>
        <w:t>通识必修课13学分、</w:t>
      </w:r>
      <w:r>
        <w:rPr>
          <w:rFonts w:hint="eastAsia" w:hAnsi="Courier New" w:eastAsia="宋体" w:cs="Courier New"/>
          <w:bCs/>
          <w:color w:val="auto"/>
        </w:rPr>
        <w:t>公共选修课</w:t>
      </w:r>
      <w:r>
        <w:rPr>
          <w:rFonts w:hint="eastAsia" w:ascii="仿宋" w:hAnsi="仿宋" w:eastAsia="仿宋" w:cs="Times New Roman"/>
          <w:color w:val="auto"/>
          <w:lang w:val="en-US" w:eastAsia="zh-CN"/>
        </w:rPr>
        <w:t>8</w:t>
      </w:r>
      <w:r>
        <w:rPr>
          <w:rFonts w:hint="eastAsia" w:hAnsi="Courier New" w:eastAsia="宋体" w:cs="Courier New"/>
          <w:bCs/>
          <w:color w:val="auto"/>
        </w:rPr>
        <w:t>学分</w:t>
      </w:r>
      <w:r>
        <w:rPr>
          <w:rFonts w:hint="eastAsia" w:hAnsi="Courier New" w:eastAsia="宋体" w:cs="Courier New"/>
          <w:bCs/>
          <w:color w:val="auto"/>
          <w:lang w:eastAsia="zh-CN"/>
        </w:rPr>
        <w:t>，</w:t>
      </w:r>
      <w:r>
        <w:rPr>
          <w:rFonts w:hint="eastAsia" w:hAnsi="Courier New" w:eastAsia="宋体" w:cs="Courier New"/>
          <w:bCs/>
          <w:color w:val="auto"/>
          <w:lang w:val="en-US" w:eastAsia="zh-CN"/>
        </w:rPr>
        <w:t>其中通识必修课含有劳动教育课2学分。</w:t>
      </w:r>
    </w:p>
    <w:p>
      <w:pPr>
        <w:pStyle w:val="6"/>
        <w:spacing w:line="400" w:lineRule="exact"/>
        <w:ind w:firstLine="420" w:firstLineChars="200"/>
        <w:rPr>
          <w:rFonts w:hint="eastAsia"/>
          <w:color w:val="auto"/>
        </w:rPr>
      </w:pPr>
      <w:r>
        <w:rPr>
          <w:rFonts w:hint="eastAsia"/>
          <w:color w:val="auto"/>
        </w:rPr>
        <w:t>专业教育类包含：数学与自然科学课24学分，专业基础课</w:t>
      </w:r>
      <w:r>
        <w:rPr>
          <w:rFonts w:hint="eastAsia"/>
          <w:color w:val="auto"/>
          <w:lang w:val="en-US" w:eastAsia="zh-CN"/>
        </w:rPr>
        <w:t>35</w:t>
      </w:r>
      <w:r>
        <w:rPr>
          <w:rFonts w:hint="eastAsia"/>
          <w:color w:val="auto"/>
        </w:rPr>
        <w:t>学分，专业选修课</w:t>
      </w:r>
      <w:r>
        <w:rPr>
          <w:rFonts w:hint="eastAsia"/>
          <w:color w:val="auto"/>
          <w:lang w:val="en-US" w:eastAsia="zh-CN"/>
        </w:rPr>
        <w:t>12</w:t>
      </w:r>
      <w:r>
        <w:rPr>
          <w:rFonts w:hint="eastAsia"/>
          <w:color w:val="auto"/>
        </w:rPr>
        <w:t>学分、工程实践及毕业设计课</w:t>
      </w:r>
      <w:r>
        <w:rPr>
          <w:rFonts w:hint="eastAsia"/>
          <w:color w:val="auto"/>
          <w:lang w:val="en-US" w:eastAsia="zh-CN"/>
        </w:rPr>
        <w:t>32</w:t>
      </w:r>
      <w:r>
        <w:rPr>
          <w:rFonts w:hint="eastAsia"/>
          <w:color w:val="auto"/>
        </w:rPr>
        <w:t>学分，其中，认识实习1学分，工作实习2学分，毕业设计8学分。</w:t>
      </w:r>
    </w:p>
    <w:p>
      <w:pPr>
        <w:widowControl/>
        <w:adjustRightInd w:val="0"/>
        <w:snapToGrid w:val="0"/>
        <w:spacing w:line="400" w:lineRule="exact"/>
        <w:ind w:firstLine="420" w:firstLineChars="200"/>
        <w:rPr>
          <w:rFonts w:hint="eastAsia"/>
          <w:color w:val="auto"/>
        </w:rPr>
      </w:pPr>
      <w:r>
        <w:rPr>
          <w:rFonts w:hint="eastAsia" w:ascii="仿宋" w:hAnsi="仿宋" w:eastAsia="仿宋" w:cs="Times New Roman"/>
          <w:bCs/>
          <w:color w:val="auto"/>
          <w:kern w:val="2"/>
          <w:sz w:val="21"/>
          <w:szCs w:val="21"/>
          <w:highlight w:val="yellow"/>
          <w:lang w:val="en-US" w:eastAsia="zh-CN" w:bidi="ar-SA"/>
        </w:rPr>
        <w:t>成长教育课其具体安排以学校发布的成长教育方案为准。</w:t>
      </w:r>
      <w:bookmarkStart w:id="0" w:name="_GoBack"/>
      <w:bookmarkEnd w:id="0"/>
    </w:p>
    <w:p>
      <w:pPr>
        <w:spacing w:before="156" w:beforeLines="50" w:line="400" w:lineRule="exact"/>
        <w:rPr>
          <w:rFonts w:eastAsia="仿宋"/>
          <w:b/>
          <w:bCs/>
          <w:color w:val="auto"/>
          <w:sz w:val="28"/>
          <w:szCs w:val="28"/>
        </w:rPr>
      </w:pPr>
      <w:r>
        <w:rPr>
          <w:rFonts w:eastAsia="仿宋"/>
          <w:b/>
          <w:bCs/>
          <w:color w:val="auto"/>
          <w:sz w:val="28"/>
          <w:szCs w:val="28"/>
        </w:rPr>
        <w:t xml:space="preserve">    </w:t>
      </w:r>
      <w:r>
        <w:rPr>
          <w:rFonts w:eastAsia="仿宋"/>
          <w:b/>
          <w:bCs/>
          <w:color w:val="auto"/>
          <w:sz w:val="24"/>
        </w:rPr>
        <w:t>（二）获得学位</w:t>
      </w:r>
    </w:p>
    <w:p>
      <w:pPr>
        <w:spacing w:line="400" w:lineRule="exact"/>
        <w:ind w:firstLine="420" w:firstLineChars="200"/>
        <w:rPr>
          <w:rFonts w:eastAsia="仿宋"/>
          <w:color w:val="auto"/>
          <w:sz w:val="28"/>
          <w:szCs w:val="28"/>
        </w:rPr>
      </w:pPr>
      <w:r>
        <w:rPr>
          <w:color w:val="auto"/>
          <w:szCs w:val="21"/>
        </w:rPr>
        <w:t>普通全日制本科生在取得毕业资格的前提下，按现行的绩点制，其</w:t>
      </w:r>
      <w:r>
        <w:rPr>
          <w:rFonts w:hint="eastAsia"/>
          <w:color w:val="auto"/>
          <w:szCs w:val="21"/>
          <w:lang w:val="en-US" w:eastAsia="zh-CN"/>
        </w:rPr>
        <w:t>专业</w:t>
      </w:r>
      <w:r>
        <w:rPr>
          <w:color w:val="auto"/>
          <w:szCs w:val="21"/>
        </w:rPr>
        <w:t>课、</w:t>
      </w:r>
      <w:r>
        <w:rPr>
          <w:rFonts w:hint="eastAsia"/>
          <w:color w:val="auto"/>
          <w:szCs w:val="21"/>
          <w:lang w:val="en-US" w:eastAsia="zh-CN"/>
        </w:rPr>
        <w:t>公共必修</w:t>
      </w:r>
      <w:r>
        <w:rPr>
          <w:color w:val="auto"/>
          <w:szCs w:val="21"/>
        </w:rPr>
        <w:t>课的平均学分绩点达到</w:t>
      </w:r>
      <w:r>
        <w:rPr>
          <w:rFonts w:hint="eastAsia"/>
          <w:color w:val="auto"/>
          <w:szCs w:val="21"/>
        </w:rPr>
        <w:t>2</w:t>
      </w:r>
      <w:r>
        <w:rPr>
          <w:color w:val="auto"/>
          <w:szCs w:val="21"/>
        </w:rPr>
        <w:t>.</w:t>
      </w:r>
      <w:r>
        <w:rPr>
          <w:rFonts w:hint="eastAsia"/>
          <w:color w:val="auto"/>
          <w:szCs w:val="21"/>
        </w:rPr>
        <w:t>0</w:t>
      </w:r>
      <w:r>
        <w:rPr>
          <w:color w:val="auto"/>
          <w:szCs w:val="21"/>
        </w:rPr>
        <w:t>及以上者，可授予</w:t>
      </w:r>
      <w:r>
        <w:rPr>
          <w:rFonts w:hint="eastAsia"/>
          <w:color w:val="auto"/>
          <w:szCs w:val="21"/>
        </w:rPr>
        <w:t>理学</w:t>
      </w:r>
      <w:r>
        <w:rPr>
          <w:color w:val="auto"/>
          <w:szCs w:val="21"/>
        </w:rPr>
        <w:t>学士学位。</w:t>
      </w:r>
    </w:p>
    <w:p>
      <w:pPr>
        <w:spacing w:before="312" w:beforeLines="100"/>
        <w:ind w:left="420" w:leftChars="200"/>
        <w:rPr>
          <w:b/>
          <w:bCs/>
          <w:color w:val="auto"/>
          <w:sz w:val="28"/>
          <w:szCs w:val="28"/>
        </w:rPr>
      </w:pPr>
      <w:r>
        <w:rPr>
          <w:b/>
          <w:bCs/>
          <w:color w:val="auto"/>
          <w:sz w:val="28"/>
          <w:szCs w:val="28"/>
        </w:rPr>
        <w:t>五、</w:t>
      </w:r>
      <w:r>
        <w:rPr>
          <w:rFonts w:hint="eastAsia"/>
          <w:b/>
          <w:bCs/>
          <w:color w:val="auto"/>
          <w:sz w:val="28"/>
          <w:szCs w:val="28"/>
        </w:rPr>
        <w:t>公共教育课程计划进程表</w:t>
      </w:r>
    </w:p>
    <w:p>
      <w:pPr>
        <w:spacing w:line="400" w:lineRule="exact"/>
        <w:ind w:firstLine="482" w:firstLineChars="200"/>
        <w:rPr>
          <w:rFonts w:eastAsia="仿宋"/>
          <w:b/>
          <w:bCs/>
          <w:color w:val="auto"/>
          <w:sz w:val="24"/>
        </w:rPr>
      </w:pPr>
      <w:r>
        <w:rPr>
          <w:rFonts w:eastAsia="仿宋"/>
          <w:b/>
          <w:bCs/>
          <w:color w:val="auto"/>
          <w:sz w:val="24"/>
        </w:rPr>
        <w:t>请详见附表一。</w:t>
      </w:r>
    </w:p>
    <w:p>
      <w:pPr>
        <w:spacing w:before="312" w:beforeLines="100"/>
        <w:ind w:left="420" w:leftChars="200"/>
        <w:rPr>
          <w:b/>
          <w:bCs/>
          <w:color w:val="auto"/>
          <w:sz w:val="28"/>
          <w:szCs w:val="28"/>
        </w:rPr>
      </w:pPr>
      <w:r>
        <w:rPr>
          <w:b/>
          <w:bCs/>
          <w:color w:val="auto"/>
          <w:sz w:val="28"/>
          <w:szCs w:val="28"/>
        </w:rPr>
        <w:t>六、专业教育课程计划进程表</w:t>
      </w:r>
    </w:p>
    <w:p>
      <w:pPr>
        <w:spacing w:line="400" w:lineRule="exact"/>
        <w:ind w:firstLine="482" w:firstLineChars="200"/>
        <w:rPr>
          <w:rFonts w:eastAsia="仿宋"/>
          <w:b/>
          <w:bCs/>
          <w:color w:val="auto"/>
          <w:sz w:val="24"/>
        </w:rPr>
      </w:pPr>
      <w:r>
        <w:rPr>
          <w:rFonts w:eastAsia="仿宋"/>
          <w:b/>
          <w:bCs/>
          <w:color w:val="auto"/>
          <w:sz w:val="24"/>
        </w:rPr>
        <w:t>请详见附表二。</w:t>
      </w:r>
    </w:p>
    <w:p>
      <w:pPr>
        <w:spacing w:before="312" w:beforeLines="100"/>
        <w:ind w:left="420" w:leftChars="200"/>
        <w:rPr>
          <w:b/>
          <w:bCs/>
          <w:color w:val="auto"/>
          <w:sz w:val="28"/>
          <w:szCs w:val="28"/>
        </w:rPr>
      </w:pPr>
      <w:r>
        <w:rPr>
          <w:rFonts w:hint="eastAsia"/>
          <w:b/>
          <w:bCs/>
          <w:color w:val="auto"/>
          <w:sz w:val="28"/>
          <w:szCs w:val="28"/>
        </w:rPr>
        <w:t>八</w:t>
      </w:r>
      <w:r>
        <w:rPr>
          <w:b/>
          <w:bCs/>
          <w:color w:val="auto"/>
          <w:sz w:val="28"/>
          <w:szCs w:val="28"/>
        </w:rPr>
        <w:t>、各学期</w:t>
      </w:r>
      <w:r>
        <w:rPr>
          <w:rFonts w:hint="eastAsia"/>
          <w:b/>
          <w:bCs/>
          <w:color w:val="auto"/>
          <w:sz w:val="28"/>
          <w:szCs w:val="28"/>
        </w:rPr>
        <w:t>学分</w:t>
      </w:r>
      <w:r>
        <w:rPr>
          <w:b/>
          <w:bCs/>
          <w:color w:val="auto"/>
          <w:sz w:val="28"/>
          <w:szCs w:val="28"/>
        </w:rPr>
        <w:t>分配表</w:t>
      </w:r>
    </w:p>
    <w:p>
      <w:pPr>
        <w:spacing w:line="400" w:lineRule="exact"/>
        <w:ind w:firstLine="482" w:firstLineChars="200"/>
        <w:rPr>
          <w:rFonts w:eastAsia="仿宋"/>
          <w:b/>
          <w:bCs/>
          <w:color w:val="auto"/>
          <w:sz w:val="24"/>
        </w:rPr>
      </w:pPr>
      <w:r>
        <w:rPr>
          <w:rFonts w:eastAsia="仿宋"/>
          <w:b/>
          <w:bCs/>
          <w:color w:val="auto"/>
          <w:sz w:val="24"/>
        </w:rPr>
        <w:t>请详见附表</w:t>
      </w:r>
      <w:r>
        <w:rPr>
          <w:rFonts w:hint="eastAsia" w:eastAsia="仿宋"/>
          <w:b/>
          <w:bCs/>
          <w:color w:val="auto"/>
          <w:sz w:val="24"/>
        </w:rPr>
        <w:t>三</w:t>
      </w:r>
      <w:r>
        <w:rPr>
          <w:rFonts w:eastAsia="仿宋"/>
          <w:b/>
          <w:bCs/>
          <w:color w:val="auto"/>
          <w:sz w:val="24"/>
        </w:rPr>
        <w:t>。</w:t>
      </w:r>
    </w:p>
    <w:p>
      <w:pPr>
        <w:spacing w:before="312" w:beforeLines="100"/>
        <w:ind w:left="420" w:leftChars="200"/>
        <w:rPr>
          <w:b/>
          <w:bCs/>
          <w:color w:val="auto"/>
          <w:sz w:val="28"/>
          <w:szCs w:val="28"/>
        </w:rPr>
      </w:pPr>
      <w:r>
        <w:rPr>
          <w:rFonts w:hint="eastAsia"/>
          <w:b/>
          <w:bCs/>
          <w:color w:val="auto"/>
          <w:sz w:val="28"/>
          <w:szCs w:val="28"/>
        </w:rPr>
        <w:t>九</w:t>
      </w:r>
      <w:r>
        <w:rPr>
          <w:b/>
          <w:bCs/>
          <w:color w:val="auto"/>
          <w:sz w:val="28"/>
          <w:szCs w:val="28"/>
        </w:rPr>
        <w:t>、</w:t>
      </w:r>
      <w:r>
        <w:rPr>
          <w:rFonts w:hint="eastAsia"/>
          <w:b/>
          <w:bCs/>
          <w:color w:val="auto"/>
          <w:sz w:val="28"/>
          <w:szCs w:val="28"/>
        </w:rPr>
        <w:t>理论、实践教学学时占比一览</w:t>
      </w:r>
      <w:r>
        <w:rPr>
          <w:b/>
          <w:bCs/>
          <w:color w:val="auto"/>
          <w:sz w:val="28"/>
          <w:szCs w:val="28"/>
        </w:rPr>
        <w:t>表</w:t>
      </w:r>
    </w:p>
    <w:p>
      <w:pPr>
        <w:spacing w:line="400" w:lineRule="exact"/>
        <w:ind w:firstLine="482" w:firstLineChars="200"/>
        <w:rPr>
          <w:rFonts w:eastAsia="仿宋"/>
          <w:b/>
          <w:bCs/>
          <w:color w:val="auto"/>
          <w:sz w:val="24"/>
        </w:rPr>
      </w:pPr>
      <w:r>
        <w:rPr>
          <w:rFonts w:eastAsia="仿宋"/>
          <w:b/>
          <w:bCs/>
          <w:color w:val="auto"/>
          <w:sz w:val="24"/>
        </w:rPr>
        <w:t>请详见附表</w:t>
      </w:r>
      <w:r>
        <w:rPr>
          <w:rFonts w:hint="eastAsia" w:eastAsia="仿宋"/>
          <w:b/>
          <w:bCs/>
          <w:color w:val="auto"/>
          <w:sz w:val="24"/>
        </w:rPr>
        <w:t>四</w:t>
      </w:r>
      <w:r>
        <w:rPr>
          <w:rFonts w:eastAsia="仿宋"/>
          <w:b/>
          <w:bCs/>
          <w:color w:val="auto"/>
          <w:sz w:val="24"/>
        </w:rPr>
        <w:t>。</w:t>
      </w:r>
    </w:p>
    <w:p>
      <w:pPr>
        <w:spacing w:before="312" w:beforeLines="100"/>
        <w:ind w:left="420" w:leftChars="200"/>
        <w:rPr>
          <w:b/>
          <w:bCs/>
          <w:color w:val="auto"/>
          <w:sz w:val="28"/>
          <w:szCs w:val="28"/>
        </w:rPr>
      </w:pPr>
      <w:r>
        <w:rPr>
          <w:rFonts w:hint="eastAsia"/>
          <w:b/>
          <w:bCs/>
          <w:color w:val="auto"/>
          <w:sz w:val="28"/>
          <w:szCs w:val="28"/>
        </w:rPr>
        <w:t>十</w:t>
      </w:r>
      <w:r>
        <w:rPr>
          <w:b/>
          <w:bCs/>
          <w:color w:val="auto"/>
          <w:sz w:val="28"/>
          <w:szCs w:val="28"/>
        </w:rPr>
        <w:t>、</w:t>
      </w:r>
      <w:r>
        <w:rPr>
          <w:rFonts w:hint="eastAsia"/>
          <w:b/>
          <w:bCs/>
          <w:color w:val="auto"/>
          <w:sz w:val="28"/>
          <w:szCs w:val="28"/>
        </w:rPr>
        <w:t>三实课程</w:t>
      </w:r>
      <w:r>
        <w:rPr>
          <w:b/>
          <w:bCs/>
          <w:color w:val="auto"/>
          <w:sz w:val="28"/>
          <w:szCs w:val="28"/>
        </w:rPr>
        <w:t>教学环节一览表</w:t>
      </w:r>
    </w:p>
    <w:p>
      <w:pPr>
        <w:spacing w:line="400" w:lineRule="exact"/>
        <w:ind w:firstLine="482" w:firstLineChars="200"/>
        <w:rPr>
          <w:rFonts w:eastAsia="仿宋"/>
          <w:b/>
          <w:bCs/>
          <w:color w:val="auto"/>
          <w:sz w:val="24"/>
        </w:rPr>
      </w:pPr>
      <w:r>
        <w:rPr>
          <w:rFonts w:eastAsia="仿宋"/>
          <w:b/>
          <w:bCs/>
          <w:color w:val="auto"/>
          <w:sz w:val="24"/>
        </w:rPr>
        <w:t>请详见附表</w:t>
      </w:r>
      <w:r>
        <w:rPr>
          <w:rFonts w:hint="eastAsia" w:eastAsia="仿宋"/>
          <w:b/>
          <w:bCs/>
          <w:color w:val="auto"/>
          <w:sz w:val="24"/>
        </w:rPr>
        <w:t>五</w:t>
      </w:r>
      <w:r>
        <w:rPr>
          <w:rFonts w:eastAsia="仿宋"/>
          <w:b/>
          <w:bCs/>
          <w:color w:val="auto"/>
          <w:sz w:val="24"/>
        </w:rPr>
        <w:t>。</w:t>
      </w:r>
    </w:p>
    <w:p>
      <w:pPr>
        <w:spacing w:before="312" w:beforeLines="100"/>
        <w:ind w:left="420" w:leftChars="200"/>
        <w:rPr>
          <w:b/>
          <w:bCs/>
          <w:color w:val="auto"/>
          <w:sz w:val="28"/>
          <w:szCs w:val="28"/>
        </w:rPr>
      </w:pPr>
      <w:r>
        <w:rPr>
          <w:b/>
          <w:bCs/>
          <w:color w:val="auto"/>
          <w:sz w:val="28"/>
          <w:szCs w:val="28"/>
        </w:rPr>
        <w:t>十</w:t>
      </w:r>
      <w:r>
        <w:rPr>
          <w:rFonts w:hint="eastAsia"/>
          <w:b/>
          <w:bCs/>
          <w:color w:val="auto"/>
          <w:sz w:val="28"/>
          <w:szCs w:val="28"/>
        </w:rPr>
        <w:t>一</w:t>
      </w:r>
      <w:r>
        <w:rPr>
          <w:b/>
          <w:bCs/>
          <w:color w:val="auto"/>
          <w:sz w:val="28"/>
          <w:szCs w:val="28"/>
        </w:rPr>
        <w:t>、辅修课程、辅修专业、辅修专业学位课程计划进程表</w:t>
      </w:r>
    </w:p>
    <w:p>
      <w:pPr>
        <w:spacing w:line="400" w:lineRule="exact"/>
        <w:ind w:firstLine="482" w:firstLineChars="200"/>
        <w:rPr>
          <w:rFonts w:eastAsia="仿宋"/>
          <w:b/>
          <w:bCs/>
          <w:color w:val="auto"/>
          <w:sz w:val="24"/>
        </w:rPr>
      </w:pPr>
      <w:r>
        <w:rPr>
          <w:rFonts w:eastAsia="仿宋"/>
          <w:b/>
          <w:bCs/>
          <w:color w:val="auto"/>
          <w:sz w:val="24"/>
        </w:rPr>
        <w:t>请详见附表</w:t>
      </w:r>
      <w:r>
        <w:rPr>
          <w:rFonts w:hint="eastAsia" w:eastAsia="仿宋"/>
          <w:b/>
          <w:bCs/>
          <w:color w:val="auto"/>
          <w:sz w:val="24"/>
        </w:rPr>
        <w:t>六</w:t>
      </w:r>
      <w:r>
        <w:rPr>
          <w:rFonts w:eastAsia="仿宋"/>
          <w:b/>
          <w:bCs/>
          <w:color w:val="auto"/>
          <w:sz w:val="24"/>
        </w:rPr>
        <w:t>。</w:t>
      </w:r>
    </w:p>
    <w:p>
      <w:pPr>
        <w:spacing w:line="400" w:lineRule="exact"/>
        <w:ind w:firstLine="482" w:firstLineChars="200"/>
        <w:rPr>
          <w:rFonts w:eastAsia="仿宋"/>
          <w:b/>
          <w:bCs/>
          <w:color w:val="auto"/>
          <w:sz w:val="24"/>
        </w:rPr>
      </w:pPr>
      <w:r>
        <w:rPr>
          <w:rFonts w:eastAsia="仿宋"/>
          <w:b/>
          <w:bCs/>
          <w:color w:val="auto"/>
          <w:sz w:val="24"/>
        </w:rPr>
        <w:t>（一）辅修课程</w:t>
      </w:r>
    </w:p>
    <w:p>
      <w:pPr>
        <w:widowControl/>
        <w:adjustRightInd w:val="0"/>
        <w:snapToGrid w:val="0"/>
        <w:spacing w:line="400" w:lineRule="exact"/>
        <w:ind w:firstLine="420" w:firstLineChars="200"/>
        <w:rPr>
          <w:color w:val="auto"/>
          <w:szCs w:val="21"/>
        </w:rPr>
      </w:pPr>
      <w:r>
        <w:rPr>
          <w:color w:val="auto"/>
          <w:szCs w:val="21"/>
        </w:rPr>
        <w:t>辅修课程是指</w:t>
      </w:r>
      <w:r>
        <w:rPr>
          <w:rFonts w:hint="eastAsia"/>
          <w:color w:val="auto"/>
          <w:szCs w:val="21"/>
        </w:rPr>
        <w:t>非本专业学生</w:t>
      </w:r>
      <w:r>
        <w:rPr>
          <w:color w:val="auto"/>
          <w:szCs w:val="21"/>
        </w:rPr>
        <w:t>修满</w:t>
      </w:r>
      <w:r>
        <w:rPr>
          <w:rFonts w:hint="eastAsia"/>
          <w:color w:val="auto"/>
          <w:szCs w:val="21"/>
        </w:rPr>
        <w:t>本</w:t>
      </w:r>
      <w:r>
        <w:rPr>
          <w:color w:val="auto"/>
          <w:szCs w:val="21"/>
        </w:rPr>
        <w:t>专业辅修</w:t>
      </w:r>
      <w:r>
        <w:rPr>
          <w:rFonts w:hint="eastAsia"/>
          <w:color w:val="auto"/>
          <w:szCs w:val="21"/>
        </w:rPr>
        <w:t>课程</w:t>
      </w:r>
      <w:r>
        <w:rPr>
          <w:color w:val="auto"/>
          <w:szCs w:val="21"/>
        </w:rPr>
        <w:t>教学计划规定的</w:t>
      </w:r>
      <w:r>
        <w:rPr>
          <w:rFonts w:hint="eastAsia"/>
          <w:color w:val="auto"/>
          <w:szCs w:val="21"/>
        </w:rPr>
        <w:t>3</w:t>
      </w:r>
      <w:r>
        <w:rPr>
          <w:color w:val="auto"/>
          <w:szCs w:val="21"/>
        </w:rPr>
        <w:t>0学分，其中必修课</w:t>
      </w:r>
      <w:r>
        <w:rPr>
          <w:rFonts w:hint="eastAsia"/>
          <w:color w:val="auto"/>
          <w:szCs w:val="21"/>
        </w:rPr>
        <w:t>3</w:t>
      </w:r>
      <w:r>
        <w:rPr>
          <w:color w:val="auto"/>
          <w:szCs w:val="21"/>
        </w:rPr>
        <w:t>0学分，</w:t>
      </w:r>
      <w:r>
        <w:rPr>
          <w:rFonts w:hint="eastAsia"/>
          <w:color w:val="auto"/>
          <w:szCs w:val="21"/>
        </w:rPr>
        <w:t>选修课0学分，</w:t>
      </w:r>
      <w:r>
        <w:rPr>
          <w:color w:val="auto"/>
          <w:szCs w:val="21"/>
        </w:rPr>
        <w:t>可以取得</w:t>
      </w:r>
      <w:r>
        <w:rPr>
          <w:rFonts w:hint="eastAsia"/>
          <w:color w:val="auto"/>
          <w:szCs w:val="21"/>
        </w:rPr>
        <w:t>电子信息科学与技术专业</w:t>
      </w:r>
      <w:r>
        <w:rPr>
          <w:color w:val="auto"/>
          <w:szCs w:val="21"/>
        </w:rPr>
        <w:t>《辅修证明书》</w:t>
      </w:r>
      <w:r>
        <w:rPr>
          <w:rFonts w:hint="eastAsia"/>
          <w:color w:val="auto"/>
          <w:szCs w:val="21"/>
        </w:rPr>
        <w:t>。</w:t>
      </w:r>
    </w:p>
    <w:p>
      <w:pPr>
        <w:widowControl/>
        <w:adjustRightInd w:val="0"/>
        <w:snapToGrid w:val="0"/>
        <w:spacing w:line="400" w:lineRule="exact"/>
        <w:ind w:firstLine="420" w:firstLineChars="200"/>
        <w:rPr>
          <w:color w:val="auto"/>
          <w:szCs w:val="21"/>
        </w:rPr>
      </w:pPr>
      <w:r>
        <w:rPr>
          <w:rFonts w:hint="eastAsia"/>
          <w:color w:val="auto"/>
          <w:szCs w:val="21"/>
        </w:rPr>
        <w:t>电子信息科学与技术专业</w:t>
      </w:r>
      <w:r>
        <w:rPr>
          <w:color w:val="auto"/>
          <w:szCs w:val="21"/>
        </w:rPr>
        <w:t>辅修课程人才培养方案详见</w:t>
      </w:r>
      <w:r>
        <w:rPr>
          <w:rFonts w:hint="eastAsia"/>
          <w:color w:val="auto"/>
          <w:szCs w:val="21"/>
        </w:rPr>
        <w:t>分表一</w:t>
      </w:r>
      <w:r>
        <w:rPr>
          <w:color w:val="auto"/>
          <w:szCs w:val="21"/>
        </w:rPr>
        <w:t>。</w:t>
      </w:r>
    </w:p>
    <w:p>
      <w:pPr>
        <w:spacing w:line="400" w:lineRule="exact"/>
        <w:ind w:firstLine="482" w:firstLineChars="200"/>
        <w:rPr>
          <w:b/>
          <w:bCs/>
          <w:color w:val="auto"/>
          <w:sz w:val="24"/>
          <w:szCs w:val="21"/>
        </w:rPr>
      </w:pPr>
      <w:r>
        <w:rPr>
          <w:rFonts w:eastAsia="仿宋"/>
          <w:b/>
          <w:bCs/>
          <w:color w:val="auto"/>
          <w:sz w:val="24"/>
        </w:rPr>
        <w:t>（二）辅修专业</w:t>
      </w:r>
    </w:p>
    <w:p>
      <w:pPr>
        <w:widowControl/>
        <w:adjustRightInd w:val="0"/>
        <w:snapToGrid w:val="0"/>
        <w:spacing w:line="400" w:lineRule="exact"/>
        <w:ind w:firstLine="420" w:firstLineChars="200"/>
        <w:rPr>
          <w:color w:val="auto"/>
          <w:szCs w:val="21"/>
        </w:rPr>
      </w:pPr>
      <w:r>
        <w:rPr>
          <w:color w:val="auto"/>
          <w:szCs w:val="21"/>
        </w:rPr>
        <w:t>辅修专业是指</w:t>
      </w:r>
      <w:r>
        <w:rPr>
          <w:rFonts w:hint="eastAsia"/>
          <w:color w:val="auto"/>
          <w:szCs w:val="21"/>
        </w:rPr>
        <w:t>非本专业学生</w:t>
      </w:r>
      <w:r>
        <w:rPr>
          <w:color w:val="auto"/>
          <w:szCs w:val="21"/>
        </w:rPr>
        <w:t>修满</w:t>
      </w:r>
      <w:r>
        <w:rPr>
          <w:rFonts w:hint="eastAsia"/>
          <w:color w:val="auto"/>
          <w:szCs w:val="21"/>
        </w:rPr>
        <w:t>本</w:t>
      </w:r>
      <w:r>
        <w:rPr>
          <w:color w:val="auto"/>
          <w:szCs w:val="21"/>
        </w:rPr>
        <w:t>专业辅修</w:t>
      </w:r>
      <w:r>
        <w:rPr>
          <w:rFonts w:hint="eastAsia"/>
          <w:color w:val="auto"/>
          <w:szCs w:val="21"/>
        </w:rPr>
        <w:t>专业</w:t>
      </w:r>
      <w:r>
        <w:rPr>
          <w:color w:val="auto"/>
          <w:szCs w:val="21"/>
        </w:rPr>
        <w:t>教学计划规定的</w:t>
      </w:r>
      <w:r>
        <w:rPr>
          <w:rFonts w:hint="eastAsia"/>
          <w:color w:val="auto"/>
          <w:szCs w:val="21"/>
        </w:rPr>
        <w:t>5</w:t>
      </w:r>
      <w:r>
        <w:rPr>
          <w:color w:val="auto"/>
          <w:szCs w:val="21"/>
        </w:rPr>
        <w:t>0学分，其中必修课</w:t>
      </w:r>
      <w:r>
        <w:rPr>
          <w:rFonts w:hint="eastAsia"/>
          <w:color w:val="auto"/>
          <w:szCs w:val="21"/>
        </w:rPr>
        <w:t>4</w:t>
      </w:r>
      <w:r>
        <w:rPr>
          <w:color w:val="auto"/>
          <w:szCs w:val="21"/>
        </w:rPr>
        <w:t>4学分，</w:t>
      </w:r>
      <w:r>
        <w:rPr>
          <w:rFonts w:hint="eastAsia"/>
          <w:color w:val="auto"/>
          <w:szCs w:val="21"/>
        </w:rPr>
        <w:t>选修课6学分，</w:t>
      </w:r>
      <w:r>
        <w:rPr>
          <w:color w:val="auto"/>
          <w:szCs w:val="21"/>
        </w:rPr>
        <w:t>可以取得</w:t>
      </w:r>
      <w:r>
        <w:rPr>
          <w:rFonts w:hint="eastAsia"/>
          <w:color w:val="auto"/>
          <w:szCs w:val="21"/>
        </w:rPr>
        <w:t>电子信息科学与技术专业</w:t>
      </w:r>
      <w:r>
        <w:rPr>
          <w:color w:val="auto"/>
          <w:szCs w:val="21"/>
        </w:rPr>
        <w:t>的辅修毕业资格。</w:t>
      </w:r>
    </w:p>
    <w:p>
      <w:pPr>
        <w:widowControl/>
        <w:adjustRightInd w:val="0"/>
        <w:snapToGrid w:val="0"/>
        <w:spacing w:line="400" w:lineRule="exact"/>
        <w:ind w:firstLine="420" w:firstLineChars="200"/>
        <w:rPr>
          <w:color w:val="auto"/>
          <w:szCs w:val="21"/>
        </w:rPr>
      </w:pPr>
      <w:r>
        <w:rPr>
          <w:rFonts w:hint="eastAsia"/>
          <w:color w:val="auto"/>
          <w:szCs w:val="21"/>
        </w:rPr>
        <w:t>电子信息科学与技术专业</w:t>
      </w:r>
      <w:r>
        <w:rPr>
          <w:color w:val="auto"/>
          <w:szCs w:val="21"/>
        </w:rPr>
        <w:t>辅修专业人才培养方案详见</w:t>
      </w:r>
      <w:r>
        <w:rPr>
          <w:rFonts w:hint="eastAsia"/>
          <w:color w:val="auto"/>
          <w:szCs w:val="21"/>
        </w:rPr>
        <w:t>分表二</w:t>
      </w:r>
      <w:r>
        <w:rPr>
          <w:color w:val="auto"/>
          <w:szCs w:val="21"/>
        </w:rPr>
        <w:t>。</w:t>
      </w:r>
    </w:p>
    <w:p>
      <w:pPr>
        <w:spacing w:line="400" w:lineRule="exact"/>
        <w:ind w:firstLine="236" w:firstLineChars="98"/>
        <w:rPr>
          <w:b/>
          <w:bCs/>
          <w:color w:val="auto"/>
          <w:sz w:val="32"/>
          <w:szCs w:val="32"/>
        </w:rPr>
      </w:pPr>
      <w:r>
        <w:rPr>
          <w:rFonts w:eastAsia="仿宋"/>
          <w:b/>
          <w:bCs/>
          <w:color w:val="auto"/>
          <w:sz w:val="24"/>
        </w:rPr>
        <w:t>（三）辅修专业学位</w:t>
      </w:r>
    </w:p>
    <w:p>
      <w:pPr>
        <w:spacing w:line="400" w:lineRule="exact"/>
        <w:ind w:firstLine="420" w:firstLineChars="200"/>
        <w:rPr>
          <w:color w:val="auto"/>
          <w:szCs w:val="21"/>
        </w:rPr>
      </w:pPr>
      <w:r>
        <w:rPr>
          <w:color w:val="auto"/>
          <w:szCs w:val="21"/>
        </w:rPr>
        <w:t>辅修专业学位</w:t>
      </w:r>
      <w:r>
        <w:rPr>
          <w:rFonts w:hint="eastAsia"/>
          <w:color w:val="auto"/>
          <w:szCs w:val="21"/>
        </w:rPr>
        <w:t>规定，</w:t>
      </w:r>
      <w:r>
        <w:rPr>
          <w:rFonts w:hint="eastAsia" w:ascii="楷体" w:hAnsi="楷体" w:eastAsia="楷体" w:cs="楷体"/>
          <w:color w:val="auto"/>
          <w:szCs w:val="21"/>
        </w:rPr>
        <w:t>学生原主修专业与计划进行辅修专业学位的专业不能属于同一学科门类</w:t>
      </w:r>
      <w:r>
        <w:rPr>
          <w:rFonts w:hint="eastAsia"/>
          <w:color w:val="auto"/>
          <w:szCs w:val="21"/>
        </w:rPr>
        <w:t>。在此前提下，非本学科门类专业学生</w:t>
      </w:r>
      <w:r>
        <w:rPr>
          <w:color w:val="auto"/>
          <w:szCs w:val="21"/>
        </w:rPr>
        <w:t>修满</w:t>
      </w:r>
      <w:r>
        <w:rPr>
          <w:rFonts w:hint="eastAsia"/>
          <w:color w:val="auto"/>
          <w:szCs w:val="21"/>
        </w:rPr>
        <w:t>本</w:t>
      </w:r>
      <w:r>
        <w:rPr>
          <w:color w:val="auto"/>
          <w:szCs w:val="21"/>
        </w:rPr>
        <w:t>专业辅修</w:t>
      </w:r>
      <w:r>
        <w:rPr>
          <w:rFonts w:hint="eastAsia"/>
          <w:color w:val="auto"/>
          <w:szCs w:val="21"/>
        </w:rPr>
        <w:t>专业学位</w:t>
      </w:r>
      <w:r>
        <w:rPr>
          <w:color w:val="auto"/>
          <w:szCs w:val="21"/>
        </w:rPr>
        <w:t>教学计划中规定的</w:t>
      </w:r>
      <w:r>
        <w:rPr>
          <w:rFonts w:hint="eastAsia"/>
          <w:color w:val="auto"/>
          <w:szCs w:val="21"/>
        </w:rPr>
        <w:t>6</w:t>
      </w:r>
      <w:r>
        <w:rPr>
          <w:color w:val="auto"/>
          <w:szCs w:val="21"/>
        </w:rPr>
        <w:t>0学分，其中必修课</w:t>
      </w:r>
      <w:r>
        <w:rPr>
          <w:rFonts w:hint="eastAsia"/>
          <w:color w:val="auto"/>
          <w:szCs w:val="21"/>
        </w:rPr>
        <w:t>5</w:t>
      </w:r>
      <w:r>
        <w:rPr>
          <w:color w:val="auto"/>
          <w:szCs w:val="21"/>
        </w:rPr>
        <w:t>4学分，</w:t>
      </w:r>
      <w:r>
        <w:rPr>
          <w:rFonts w:hint="eastAsia"/>
          <w:color w:val="auto"/>
          <w:szCs w:val="21"/>
        </w:rPr>
        <w:t>选修课6学分，</w:t>
      </w:r>
      <w:r>
        <w:rPr>
          <w:color w:val="auto"/>
          <w:szCs w:val="21"/>
        </w:rPr>
        <w:t>且符合两个专业要求的学位授予条件，在取得主修专业学士学位的同时，可同时取得</w:t>
      </w:r>
      <w:r>
        <w:rPr>
          <w:rFonts w:hint="eastAsia"/>
          <w:color w:val="auto"/>
          <w:szCs w:val="21"/>
        </w:rPr>
        <w:t>电子信息科学与技术</w:t>
      </w:r>
      <w:r>
        <w:rPr>
          <w:color w:val="auto"/>
          <w:szCs w:val="21"/>
        </w:rPr>
        <w:t>学士学位。</w:t>
      </w:r>
    </w:p>
    <w:p>
      <w:pPr>
        <w:widowControl/>
        <w:adjustRightInd w:val="0"/>
        <w:snapToGrid w:val="0"/>
        <w:spacing w:line="400" w:lineRule="exact"/>
        <w:ind w:firstLine="420" w:firstLineChars="200"/>
        <w:rPr>
          <w:color w:val="auto"/>
          <w:szCs w:val="21"/>
        </w:rPr>
      </w:pPr>
      <w:r>
        <w:rPr>
          <w:rFonts w:hint="eastAsia"/>
          <w:color w:val="auto"/>
          <w:szCs w:val="21"/>
        </w:rPr>
        <w:t>电子信息科学与</w:t>
      </w:r>
      <w:r>
        <w:rPr>
          <w:color w:val="auto"/>
          <w:szCs w:val="21"/>
        </w:rPr>
        <w:t>技术专业辅修专业学位人才培养方案详见</w:t>
      </w:r>
      <w:r>
        <w:rPr>
          <w:rFonts w:hint="eastAsia"/>
          <w:color w:val="auto"/>
          <w:szCs w:val="21"/>
        </w:rPr>
        <w:t>分表三</w:t>
      </w:r>
      <w:r>
        <w:rPr>
          <w:color w:val="auto"/>
          <w:szCs w:val="21"/>
        </w:rPr>
        <w:t>。</w:t>
      </w:r>
    </w:p>
    <w:p>
      <w:pPr>
        <w:pStyle w:val="2"/>
        <w:ind w:left="520"/>
        <w:rPr>
          <w:rFonts w:ascii="Times New Roman" w:hAnsi="Times New Roman"/>
          <w:color w:val="auto"/>
        </w:rPr>
      </w:pPr>
      <w:r>
        <w:rPr>
          <w:rFonts w:ascii="Times New Roman" w:hAnsi="Times New Roman"/>
          <w:color w:val="auto"/>
        </w:rPr>
        <w:t>十二、专业核心课程与毕业要求对应表</w:t>
      </w:r>
    </w:p>
    <w:p>
      <w:pPr>
        <w:spacing w:line="400" w:lineRule="exact"/>
        <w:ind w:firstLine="482" w:firstLineChars="200"/>
        <w:rPr>
          <w:rFonts w:eastAsia="仿宋"/>
          <w:b/>
          <w:bCs/>
          <w:color w:val="auto"/>
          <w:sz w:val="24"/>
        </w:rPr>
      </w:pPr>
      <w:r>
        <w:rPr>
          <w:rFonts w:eastAsia="仿宋"/>
          <w:b/>
          <w:bCs/>
          <w:color w:val="auto"/>
          <w:sz w:val="24"/>
        </w:rPr>
        <w:t>请详见附表七</w:t>
      </w:r>
      <w:r>
        <w:rPr>
          <w:rFonts w:hint="eastAsia" w:eastAsia="仿宋"/>
          <w:b/>
          <w:bCs/>
          <w:color w:val="auto"/>
          <w:sz w:val="24"/>
        </w:rPr>
        <w:t>。</w:t>
      </w:r>
    </w:p>
    <w:p>
      <w:pPr>
        <w:spacing w:line="400" w:lineRule="exact"/>
        <w:ind w:firstLine="482" w:firstLineChars="200"/>
        <w:rPr>
          <w:rFonts w:eastAsia="仿宋"/>
          <w:b/>
          <w:bCs/>
          <w:color w:val="auto"/>
          <w:sz w:val="24"/>
        </w:rPr>
      </w:pPr>
    </w:p>
    <w:p>
      <w:pPr>
        <w:tabs>
          <w:tab w:val="left" w:pos="1759"/>
        </w:tabs>
        <w:rPr>
          <w:color w:val="auto"/>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2B4614"/>
    <w:multiLevelType w:val="singleLevel"/>
    <w:tmpl w:val="562B461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MzhhYjYxNGQwMTcyZmMzMTNiMDFmOGU5YjUzNDkifQ=="/>
  </w:docVars>
  <w:rsids>
    <w:rsidRoot w:val="00273275"/>
    <w:rsid w:val="00005C2B"/>
    <w:rsid w:val="00010C46"/>
    <w:rsid w:val="00013A92"/>
    <w:rsid w:val="000168E6"/>
    <w:rsid w:val="00017D31"/>
    <w:rsid w:val="000217EA"/>
    <w:rsid w:val="0002445D"/>
    <w:rsid w:val="00032FE8"/>
    <w:rsid w:val="0003345D"/>
    <w:rsid w:val="00040D75"/>
    <w:rsid w:val="000452CC"/>
    <w:rsid w:val="000458C9"/>
    <w:rsid w:val="0004748C"/>
    <w:rsid w:val="0004768D"/>
    <w:rsid w:val="0004777B"/>
    <w:rsid w:val="000559B1"/>
    <w:rsid w:val="0005625F"/>
    <w:rsid w:val="00061EA0"/>
    <w:rsid w:val="000640F4"/>
    <w:rsid w:val="000659A8"/>
    <w:rsid w:val="00070FC3"/>
    <w:rsid w:val="00080FBA"/>
    <w:rsid w:val="00081886"/>
    <w:rsid w:val="00091CA7"/>
    <w:rsid w:val="000B0480"/>
    <w:rsid w:val="000C0C16"/>
    <w:rsid w:val="000C1732"/>
    <w:rsid w:val="000C36FC"/>
    <w:rsid w:val="000C4902"/>
    <w:rsid w:val="000C6248"/>
    <w:rsid w:val="000C6A48"/>
    <w:rsid w:val="000D0C3E"/>
    <w:rsid w:val="000D35F7"/>
    <w:rsid w:val="000D409D"/>
    <w:rsid w:val="000D4562"/>
    <w:rsid w:val="000D476C"/>
    <w:rsid w:val="000E06BE"/>
    <w:rsid w:val="000E30BA"/>
    <w:rsid w:val="000E48A2"/>
    <w:rsid w:val="000E5BD3"/>
    <w:rsid w:val="000F1C25"/>
    <w:rsid w:val="000F2C45"/>
    <w:rsid w:val="000F5029"/>
    <w:rsid w:val="000F780F"/>
    <w:rsid w:val="00111B68"/>
    <w:rsid w:val="001130E9"/>
    <w:rsid w:val="0011398A"/>
    <w:rsid w:val="0011659C"/>
    <w:rsid w:val="00117609"/>
    <w:rsid w:val="00121569"/>
    <w:rsid w:val="0012721D"/>
    <w:rsid w:val="0013345E"/>
    <w:rsid w:val="00134B38"/>
    <w:rsid w:val="00136A1B"/>
    <w:rsid w:val="001415E3"/>
    <w:rsid w:val="001523FA"/>
    <w:rsid w:val="00153E9B"/>
    <w:rsid w:val="00154B0C"/>
    <w:rsid w:val="001571A4"/>
    <w:rsid w:val="00157D78"/>
    <w:rsid w:val="00161CCC"/>
    <w:rsid w:val="00166CA5"/>
    <w:rsid w:val="00185847"/>
    <w:rsid w:val="00191C76"/>
    <w:rsid w:val="00194F66"/>
    <w:rsid w:val="001A3D56"/>
    <w:rsid w:val="001A60B5"/>
    <w:rsid w:val="001B0279"/>
    <w:rsid w:val="001B3F4F"/>
    <w:rsid w:val="001B4EE1"/>
    <w:rsid w:val="001B73B6"/>
    <w:rsid w:val="001C291C"/>
    <w:rsid w:val="001C6CFF"/>
    <w:rsid w:val="001D43E0"/>
    <w:rsid w:val="001D69FF"/>
    <w:rsid w:val="001F050B"/>
    <w:rsid w:val="001F09F6"/>
    <w:rsid w:val="001F136D"/>
    <w:rsid w:val="001F3C7D"/>
    <w:rsid w:val="001F40ED"/>
    <w:rsid w:val="001F6624"/>
    <w:rsid w:val="0022658B"/>
    <w:rsid w:val="0022737B"/>
    <w:rsid w:val="00227A42"/>
    <w:rsid w:val="00233930"/>
    <w:rsid w:val="00233C98"/>
    <w:rsid w:val="00234B6D"/>
    <w:rsid w:val="0023686B"/>
    <w:rsid w:val="0024029A"/>
    <w:rsid w:val="00241216"/>
    <w:rsid w:val="00245C3D"/>
    <w:rsid w:val="00246A73"/>
    <w:rsid w:val="002505AF"/>
    <w:rsid w:val="00251FFE"/>
    <w:rsid w:val="00260164"/>
    <w:rsid w:val="002602C6"/>
    <w:rsid w:val="00261D6B"/>
    <w:rsid w:val="00265A18"/>
    <w:rsid w:val="00266887"/>
    <w:rsid w:val="00271032"/>
    <w:rsid w:val="00273275"/>
    <w:rsid w:val="00273361"/>
    <w:rsid w:val="0027592D"/>
    <w:rsid w:val="00284DFA"/>
    <w:rsid w:val="00285A56"/>
    <w:rsid w:val="002873B0"/>
    <w:rsid w:val="0029285D"/>
    <w:rsid w:val="00294694"/>
    <w:rsid w:val="00295B01"/>
    <w:rsid w:val="00295E7C"/>
    <w:rsid w:val="002A0E77"/>
    <w:rsid w:val="002A314A"/>
    <w:rsid w:val="002A3F64"/>
    <w:rsid w:val="002B07C2"/>
    <w:rsid w:val="002B3AFB"/>
    <w:rsid w:val="002B6CC9"/>
    <w:rsid w:val="002B7AF9"/>
    <w:rsid w:val="002C07AE"/>
    <w:rsid w:val="002C0D0E"/>
    <w:rsid w:val="002C7963"/>
    <w:rsid w:val="002D183A"/>
    <w:rsid w:val="002E62E9"/>
    <w:rsid w:val="002E712E"/>
    <w:rsid w:val="002F00B1"/>
    <w:rsid w:val="002F0F97"/>
    <w:rsid w:val="002F40EF"/>
    <w:rsid w:val="002F5991"/>
    <w:rsid w:val="00305ABA"/>
    <w:rsid w:val="00313CE5"/>
    <w:rsid w:val="00314357"/>
    <w:rsid w:val="00315891"/>
    <w:rsid w:val="00325A59"/>
    <w:rsid w:val="00330DC8"/>
    <w:rsid w:val="003368FA"/>
    <w:rsid w:val="00337DC1"/>
    <w:rsid w:val="003430CB"/>
    <w:rsid w:val="0034590B"/>
    <w:rsid w:val="00345AA6"/>
    <w:rsid w:val="00350E81"/>
    <w:rsid w:val="00352686"/>
    <w:rsid w:val="00356352"/>
    <w:rsid w:val="00360318"/>
    <w:rsid w:val="00360BF2"/>
    <w:rsid w:val="003641C3"/>
    <w:rsid w:val="00364827"/>
    <w:rsid w:val="003651B4"/>
    <w:rsid w:val="003669CF"/>
    <w:rsid w:val="0037072E"/>
    <w:rsid w:val="00373225"/>
    <w:rsid w:val="003732C7"/>
    <w:rsid w:val="003800F1"/>
    <w:rsid w:val="003818C3"/>
    <w:rsid w:val="003835E9"/>
    <w:rsid w:val="00384588"/>
    <w:rsid w:val="00385749"/>
    <w:rsid w:val="003861D5"/>
    <w:rsid w:val="003934B7"/>
    <w:rsid w:val="00393DD3"/>
    <w:rsid w:val="003A1A43"/>
    <w:rsid w:val="003A64DA"/>
    <w:rsid w:val="003B227E"/>
    <w:rsid w:val="003B2475"/>
    <w:rsid w:val="003B58EB"/>
    <w:rsid w:val="003B754D"/>
    <w:rsid w:val="003C2F24"/>
    <w:rsid w:val="003C3C24"/>
    <w:rsid w:val="003C4095"/>
    <w:rsid w:val="003C4B2B"/>
    <w:rsid w:val="003D23E7"/>
    <w:rsid w:val="003D2E57"/>
    <w:rsid w:val="003D3FB2"/>
    <w:rsid w:val="003D448D"/>
    <w:rsid w:val="003D5492"/>
    <w:rsid w:val="003D6F85"/>
    <w:rsid w:val="003D738C"/>
    <w:rsid w:val="003E1295"/>
    <w:rsid w:val="003F098D"/>
    <w:rsid w:val="003F2DE1"/>
    <w:rsid w:val="003F5E31"/>
    <w:rsid w:val="003F673A"/>
    <w:rsid w:val="003F69C3"/>
    <w:rsid w:val="004002D6"/>
    <w:rsid w:val="004127E6"/>
    <w:rsid w:val="00414BC9"/>
    <w:rsid w:val="00424D24"/>
    <w:rsid w:val="004323FD"/>
    <w:rsid w:val="00433F86"/>
    <w:rsid w:val="00434A97"/>
    <w:rsid w:val="0045215C"/>
    <w:rsid w:val="00456257"/>
    <w:rsid w:val="004575AC"/>
    <w:rsid w:val="004637F9"/>
    <w:rsid w:val="004673B5"/>
    <w:rsid w:val="004715A5"/>
    <w:rsid w:val="00471C2C"/>
    <w:rsid w:val="0047450F"/>
    <w:rsid w:val="004752F5"/>
    <w:rsid w:val="0047687F"/>
    <w:rsid w:val="004829FA"/>
    <w:rsid w:val="00487139"/>
    <w:rsid w:val="0049216A"/>
    <w:rsid w:val="0049300C"/>
    <w:rsid w:val="004A06CB"/>
    <w:rsid w:val="004A140E"/>
    <w:rsid w:val="004A4D7B"/>
    <w:rsid w:val="004B0046"/>
    <w:rsid w:val="004B11C6"/>
    <w:rsid w:val="004B3B4E"/>
    <w:rsid w:val="004B4B6F"/>
    <w:rsid w:val="004B545F"/>
    <w:rsid w:val="004B73D8"/>
    <w:rsid w:val="004C12C0"/>
    <w:rsid w:val="004C533B"/>
    <w:rsid w:val="004E3616"/>
    <w:rsid w:val="004F207B"/>
    <w:rsid w:val="00504B8D"/>
    <w:rsid w:val="005063D2"/>
    <w:rsid w:val="00515AE5"/>
    <w:rsid w:val="00526862"/>
    <w:rsid w:val="00526F2B"/>
    <w:rsid w:val="00531430"/>
    <w:rsid w:val="00534A15"/>
    <w:rsid w:val="005378F6"/>
    <w:rsid w:val="00545160"/>
    <w:rsid w:val="00545834"/>
    <w:rsid w:val="005504AB"/>
    <w:rsid w:val="00551022"/>
    <w:rsid w:val="005558E8"/>
    <w:rsid w:val="005617D6"/>
    <w:rsid w:val="00572A35"/>
    <w:rsid w:val="00584F1D"/>
    <w:rsid w:val="00590828"/>
    <w:rsid w:val="005932DD"/>
    <w:rsid w:val="00593A5A"/>
    <w:rsid w:val="005A1F99"/>
    <w:rsid w:val="005A4CE9"/>
    <w:rsid w:val="005A5BE3"/>
    <w:rsid w:val="005B15B1"/>
    <w:rsid w:val="005B3CBB"/>
    <w:rsid w:val="005B4365"/>
    <w:rsid w:val="005B45E1"/>
    <w:rsid w:val="005B66F6"/>
    <w:rsid w:val="005C6203"/>
    <w:rsid w:val="005C65A4"/>
    <w:rsid w:val="005C7BEA"/>
    <w:rsid w:val="005D0405"/>
    <w:rsid w:val="005D1369"/>
    <w:rsid w:val="005D23A9"/>
    <w:rsid w:val="005D28D8"/>
    <w:rsid w:val="005D2CDB"/>
    <w:rsid w:val="005D3090"/>
    <w:rsid w:val="005D4C96"/>
    <w:rsid w:val="005E62A6"/>
    <w:rsid w:val="005E7940"/>
    <w:rsid w:val="005F55F4"/>
    <w:rsid w:val="005F61A3"/>
    <w:rsid w:val="00601DC8"/>
    <w:rsid w:val="006077AE"/>
    <w:rsid w:val="006100E7"/>
    <w:rsid w:val="00615925"/>
    <w:rsid w:val="006223AE"/>
    <w:rsid w:val="006239DD"/>
    <w:rsid w:val="00635F13"/>
    <w:rsid w:val="00643BE5"/>
    <w:rsid w:val="00651835"/>
    <w:rsid w:val="00652261"/>
    <w:rsid w:val="00663E5E"/>
    <w:rsid w:val="00682967"/>
    <w:rsid w:val="00683863"/>
    <w:rsid w:val="00693D26"/>
    <w:rsid w:val="00696158"/>
    <w:rsid w:val="006A10E7"/>
    <w:rsid w:val="006A2502"/>
    <w:rsid w:val="006A4B4B"/>
    <w:rsid w:val="006A5F4F"/>
    <w:rsid w:val="006A7400"/>
    <w:rsid w:val="006B797A"/>
    <w:rsid w:val="006D0143"/>
    <w:rsid w:val="006D2EEB"/>
    <w:rsid w:val="006D4BD6"/>
    <w:rsid w:val="006D6965"/>
    <w:rsid w:val="006E01F0"/>
    <w:rsid w:val="006E5D4A"/>
    <w:rsid w:val="006F026D"/>
    <w:rsid w:val="006F2486"/>
    <w:rsid w:val="006F7D06"/>
    <w:rsid w:val="00700DFF"/>
    <w:rsid w:val="007049B3"/>
    <w:rsid w:val="00706D39"/>
    <w:rsid w:val="00707C64"/>
    <w:rsid w:val="00710D5A"/>
    <w:rsid w:val="00713424"/>
    <w:rsid w:val="0072273A"/>
    <w:rsid w:val="0072370D"/>
    <w:rsid w:val="00723CE0"/>
    <w:rsid w:val="00723D98"/>
    <w:rsid w:val="0072586D"/>
    <w:rsid w:val="00730245"/>
    <w:rsid w:val="00736B82"/>
    <w:rsid w:val="00742583"/>
    <w:rsid w:val="00747CD3"/>
    <w:rsid w:val="00751213"/>
    <w:rsid w:val="007578A7"/>
    <w:rsid w:val="007578BD"/>
    <w:rsid w:val="00762EA2"/>
    <w:rsid w:val="00766B21"/>
    <w:rsid w:val="00773FD8"/>
    <w:rsid w:val="007775D4"/>
    <w:rsid w:val="00783BF8"/>
    <w:rsid w:val="00784406"/>
    <w:rsid w:val="00790B52"/>
    <w:rsid w:val="00794C5D"/>
    <w:rsid w:val="007B1174"/>
    <w:rsid w:val="007B23B4"/>
    <w:rsid w:val="007B4191"/>
    <w:rsid w:val="007C0337"/>
    <w:rsid w:val="007C0689"/>
    <w:rsid w:val="007D57A0"/>
    <w:rsid w:val="007E0DBD"/>
    <w:rsid w:val="007E3DF4"/>
    <w:rsid w:val="007E5BA8"/>
    <w:rsid w:val="007E6BB4"/>
    <w:rsid w:val="007E752F"/>
    <w:rsid w:val="007F323E"/>
    <w:rsid w:val="007F605B"/>
    <w:rsid w:val="007F7E19"/>
    <w:rsid w:val="00800081"/>
    <w:rsid w:val="008017B8"/>
    <w:rsid w:val="0081178B"/>
    <w:rsid w:val="00817F80"/>
    <w:rsid w:val="00834389"/>
    <w:rsid w:val="00835BE3"/>
    <w:rsid w:val="00855234"/>
    <w:rsid w:val="00856D63"/>
    <w:rsid w:val="008628B0"/>
    <w:rsid w:val="00870468"/>
    <w:rsid w:val="00871182"/>
    <w:rsid w:val="00871F1C"/>
    <w:rsid w:val="008721C9"/>
    <w:rsid w:val="00873C0A"/>
    <w:rsid w:val="00873FE0"/>
    <w:rsid w:val="00875D9F"/>
    <w:rsid w:val="00881BD9"/>
    <w:rsid w:val="0088275E"/>
    <w:rsid w:val="00887092"/>
    <w:rsid w:val="00890E35"/>
    <w:rsid w:val="00892911"/>
    <w:rsid w:val="00893AF4"/>
    <w:rsid w:val="00897FD4"/>
    <w:rsid w:val="008A1931"/>
    <w:rsid w:val="008A2108"/>
    <w:rsid w:val="008A364A"/>
    <w:rsid w:val="008A523D"/>
    <w:rsid w:val="008B35FB"/>
    <w:rsid w:val="008B5ADA"/>
    <w:rsid w:val="008C492F"/>
    <w:rsid w:val="008C5082"/>
    <w:rsid w:val="008C6161"/>
    <w:rsid w:val="008C61D3"/>
    <w:rsid w:val="008C70A3"/>
    <w:rsid w:val="008D1863"/>
    <w:rsid w:val="008D2833"/>
    <w:rsid w:val="008D2C36"/>
    <w:rsid w:val="008D39E5"/>
    <w:rsid w:val="008D4337"/>
    <w:rsid w:val="008E4E13"/>
    <w:rsid w:val="008E7340"/>
    <w:rsid w:val="008F6FA3"/>
    <w:rsid w:val="009026B5"/>
    <w:rsid w:val="00922216"/>
    <w:rsid w:val="009245D0"/>
    <w:rsid w:val="00934F1A"/>
    <w:rsid w:val="009424D2"/>
    <w:rsid w:val="009439E8"/>
    <w:rsid w:val="00947101"/>
    <w:rsid w:val="00947887"/>
    <w:rsid w:val="00950712"/>
    <w:rsid w:val="009526C8"/>
    <w:rsid w:val="00956310"/>
    <w:rsid w:val="00962F8C"/>
    <w:rsid w:val="009670AE"/>
    <w:rsid w:val="00971F77"/>
    <w:rsid w:val="00972FEE"/>
    <w:rsid w:val="00973AA8"/>
    <w:rsid w:val="00976D98"/>
    <w:rsid w:val="00977C4E"/>
    <w:rsid w:val="009860F6"/>
    <w:rsid w:val="00992F50"/>
    <w:rsid w:val="009943BC"/>
    <w:rsid w:val="00996741"/>
    <w:rsid w:val="009A0CD8"/>
    <w:rsid w:val="009A26A5"/>
    <w:rsid w:val="009A442B"/>
    <w:rsid w:val="009A5313"/>
    <w:rsid w:val="009A68F2"/>
    <w:rsid w:val="009B3E23"/>
    <w:rsid w:val="009B7D87"/>
    <w:rsid w:val="009C406B"/>
    <w:rsid w:val="009C66FB"/>
    <w:rsid w:val="009D3DDA"/>
    <w:rsid w:val="009E18BB"/>
    <w:rsid w:val="009E2BC5"/>
    <w:rsid w:val="009E4F55"/>
    <w:rsid w:val="009E7351"/>
    <w:rsid w:val="009E74A5"/>
    <w:rsid w:val="00A021F5"/>
    <w:rsid w:val="00A02DD7"/>
    <w:rsid w:val="00A04291"/>
    <w:rsid w:val="00A0546F"/>
    <w:rsid w:val="00A065C8"/>
    <w:rsid w:val="00A13521"/>
    <w:rsid w:val="00A144E1"/>
    <w:rsid w:val="00A209EA"/>
    <w:rsid w:val="00A24E7C"/>
    <w:rsid w:val="00A26AC5"/>
    <w:rsid w:val="00A32A83"/>
    <w:rsid w:val="00A35594"/>
    <w:rsid w:val="00A35711"/>
    <w:rsid w:val="00A40185"/>
    <w:rsid w:val="00A405B7"/>
    <w:rsid w:val="00A418C6"/>
    <w:rsid w:val="00A41BD6"/>
    <w:rsid w:val="00A44147"/>
    <w:rsid w:val="00A45C24"/>
    <w:rsid w:val="00A4758C"/>
    <w:rsid w:val="00A57D3B"/>
    <w:rsid w:val="00A623AB"/>
    <w:rsid w:val="00A6389B"/>
    <w:rsid w:val="00A64D8B"/>
    <w:rsid w:val="00A65BF8"/>
    <w:rsid w:val="00A65D23"/>
    <w:rsid w:val="00A65FC9"/>
    <w:rsid w:val="00A722AA"/>
    <w:rsid w:val="00A806B0"/>
    <w:rsid w:val="00A8265D"/>
    <w:rsid w:val="00A914BA"/>
    <w:rsid w:val="00AA796E"/>
    <w:rsid w:val="00AB183B"/>
    <w:rsid w:val="00AB51F0"/>
    <w:rsid w:val="00AC3AE6"/>
    <w:rsid w:val="00AC63CA"/>
    <w:rsid w:val="00AD0EED"/>
    <w:rsid w:val="00AD3610"/>
    <w:rsid w:val="00AD4033"/>
    <w:rsid w:val="00AE12F4"/>
    <w:rsid w:val="00AE2DD4"/>
    <w:rsid w:val="00AE3BD6"/>
    <w:rsid w:val="00AE5E7E"/>
    <w:rsid w:val="00AE75F8"/>
    <w:rsid w:val="00AF1276"/>
    <w:rsid w:val="00AF5D3B"/>
    <w:rsid w:val="00AF73E5"/>
    <w:rsid w:val="00AF7886"/>
    <w:rsid w:val="00B026D9"/>
    <w:rsid w:val="00B05FFC"/>
    <w:rsid w:val="00B15263"/>
    <w:rsid w:val="00B15ECE"/>
    <w:rsid w:val="00B3432F"/>
    <w:rsid w:val="00B47E59"/>
    <w:rsid w:val="00B50521"/>
    <w:rsid w:val="00B50CAA"/>
    <w:rsid w:val="00B54690"/>
    <w:rsid w:val="00B57A5E"/>
    <w:rsid w:val="00B61B85"/>
    <w:rsid w:val="00B65840"/>
    <w:rsid w:val="00B65BBF"/>
    <w:rsid w:val="00B66AEC"/>
    <w:rsid w:val="00B71D74"/>
    <w:rsid w:val="00B74765"/>
    <w:rsid w:val="00B75188"/>
    <w:rsid w:val="00B85EB9"/>
    <w:rsid w:val="00B86E67"/>
    <w:rsid w:val="00B93E2D"/>
    <w:rsid w:val="00BA00DE"/>
    <w:rsid w:val="00BA1981"/>
    <w:rsid w:val="00BA23D6"/>
    <w:rsid w:val="00BA3EA1"/>
    <w:rsid w:val="00BA5135"/>
    <w:rsid w:val="00BA72F9"/>
    <w:rsid w:val="00BA79D5"/>
    <w:rsid w:val="00BB314A"/>
    <w:rsid w:val="00BB6887"/>
    <w:rsid w:val="00BB7B77"/>
    <w:rsid w:val="00BC1D54"/>
    <w:rsid w:val="00BC6EF2"/>
    <w:rsid w:val="00BC7235"/>
    <w:rsid w:val="00BD19D5"/>
    <w:rsid w:val="00BD6FA1"/>
    <w:rsid w:val="00BD75B9"/>
    <w:rsid w:val="00BE16E6"/>
    <w:rsid w:val="00BE2AE9"/>
    <w:rsid w:val="00BE30BE"/>
    <w:rsid w:val="00C00E13"/>
    <w:rsid w:val="00C0150B"/>
    <w:rsid w:val="00C037A7"/>
    <w:rsid w:val="00C053B8"/>
    <w:rsid w:val="00C06E17"/>
    <w:rsid w:val="00C11C1A"/>
    <w:rsid w:val="00C23271"/>
    <w:rsid w:val="00C40D25"/>
    <w:rsid w:val="00C4144C"/>
    <w:rsid w:val="00C414C8"/>
    <w:rsid w:val="00C42BA6"/>
    <w:rsid w:val="00C47EE8"/>
    <w:rsid w:val="00C5538B"/>
    <w:rsid w:val="00C56C3D"/>
    <w:rsid w:val="00C624CC"/>
    <w:rsid w:val="00C66F73"/>
    <w:rsid w:val="00C80475"/>
    <w:rsid w:val="00C87074"/>
    <w:rsid w:val="00C90347"/>
    <w:rsid w:val="00C91F3C"/>
    <w:rsid w:val="00C93B8D"/>
    <w:rsid w:val="00CA60AD"/>
    <w:rsid w:val="00CB030C"/>
    <w:rsid w:val="00CB116F"/>
    <w:rsid w:val="00CB2960"/>
    <w:rsid w:val="00CB5D1C"/>
    <w:rsid w:val="00CB73B0"/>
    <w:rsid w:val="00CC573A"/>
    <w:rsid w:val="00CC69C6"/>
    <w:rsid w:val="00CD0EF9"/>
    <w:rsid w:val="00CD45E9"/>
    <w:rsid w:val="00CD4ED0"/>
    <w:rsid w:val="00CE1380"/>
    <w:rsid w:val="00CE17C2"/>
    <w:rsid w:val="00CE358A"/>
    <w:rsid w:val="00CE5DB7"/>
    <w:rsid w:val="00CE6551"/>
    <w:rsid w:val="00CF039F"/>
    <w:rsid w:val="00CF0866"/>
    <w:rsid w:val="00CF1564"/>
    <w:rsid w:val="00D00AF3"/>
    <w:rsid w:val="00D011E0"/>
    <w:rsid w:val="00D023C1"/>
    <w:rsid w:val="00D047C9"/>
    <w:rsid w:val="00D102F5"/>
    <w:rsid w:val="00D12380"/>
    <w:rsid w:val="00D1388C"/>
    <w:rsid w:val="00D143B0"/>
    <w:rsid w:val="00D173CE"/>
    <w:rsid w:val="00D21E52"/>
    <w:rsid w:val="00D2392B"/>
    <w:rsid w:val="00D26152"/>
    <w:rsid w:val="00D26454"/>
    <w:rsid w:val="00D2677F"/>
    <w:rsid w:val="00D31287"/>
    <w:rsid w:val="00D31831"/>
    <w:rsid w:val="00D3242F"/>
    <w:rsid w:val="00D32D48"/>
    <w:rsid w:val="00D37537"/>
    <w:rsid w:val="00D45294"/>
    <w:rsid w:val="00D463B8"/>
    <w:rsid w:val="00D52D9E"/>
    <w:rsid w:val="00D53577"/>
    <w:rsid w:val="00D53659"/>
    <w:rsid w:val="00D53D45"/>
    <w:rsid w:val="00D65A20"/>
    <w:rsid w:val="00D708A8"/>
    <w:rsid w:val="00D72D67"/>
    <w:rsid w:val="00D73173"/>
    <w:rsid w:val="00D73FA7"/>
    <w:rsid w:val="00D77E66"/>
    <w:rsid w:val="00D81C3A"/>
    <w:rsid w:val="00D8318D"/>
    <w:rsid w:val="00D85E82"/>
    <w:rsid w:val="00D86924"/>
    <w:rsid w:val="00D92C2A"/>
    <w:rsid w:val="00D92D87"/>
    <w:rsid w:val="00DA3778"/>
    <w:rsid w:val="00DA401B"/>
    <w:rsid w:val="00DB01E6"/>
    <w:rsid w:val="00DB633B"/>
    <w:rsid w:val="00DC1F91"/>
    <w:rsid w:val="00DC243C"/>
    <w:rsid w:val="00DC4692"/>
    <w:rsid w:val="00DC55E1"/>
    <w:rsid w:val="00DC5ED3"/>
    <w:rsid w:val="00DC6CE4"/>
    <w:rsid w:val="00DD36CF"/>
    <w:rsid w:val="00DD7E60"/>
    <w:rsid w:val="00DE2374"/>
    <w:rsid w:val="00DE35DC"/>
    <w:rsid w:val="00DE38AD"/>
    <w:rsid w:val="00DE63BB"/>
    <w:rsid w:val="00DF08AE"/>
    <w:rsid w:val="00DF297E"/>
    <w:rsid w:val="00DF412F"/>
    <w:rsid w:val="00DF5569"/>
    <w:rsid w:val="00E0693B"/>
    <w:rsid w:val="00E11EE1"/>
    <w:rsid w:val="00E12A6A"/>
    <w:rsid w:val="00E133CD"/>
    <w:rsid w:val="00E15FD4"/>
    <w:rsid w:val="00E16CE1"/>
    <w:rsid w:val="00E30C9D"/>
    <w:rsid w:val="00E325FD"/>
    <w:rsid w:val="00E33352"/>
    <w:rsid w:val="00E33372"/>
    <w:rsid w:val="00E45D9E"/>
    <w:rsid w:val="00E51053"/>
    <w:rsid w:val="00E571D0"/>
    <w:rsid w:val="00E65C90"/>
    <w:rsid w:val="00E710D4"/>
    <w:rsid w:val="00E81B39"/>
    <w:rsid w:val="00E8281E"/>
    <w:rsid w:val="00E86D25"/>
    <w:rsid w:val="00E91FD8"/>
    <w:rsid w:val="00E93583"/>
    <w:rsid w:val="00E93C50"/>
    <w:rsid w:val="00EB053A"/>
    <w:rsid w:val="00EB1338"/>
    <w:rsid w:val="00EB563A"/>
    <w:rsid w:val="00EB5EE4"/>
    <w:rsid w:val="00EC40C3"/>
    <w:rsid w:val="00EC4BD3"/>
    <w:rsid w:val="00EC550E"/>
    <w:rsid w:val="00EC7FAB"/>
    <w:rsid w:val="00ED06A0"/>
    <w:rsid w:val="00ED0891"/>
    <w:rsid w:val="00ED290E"/>
    <w:rsid w:val="00EE1727"/>
    <w:rsid w:val="00EE21FE"/>
    <w:rsid w:val="00EE468A"/>
    <w:rsid w:val="00EE604C"/>
    <w:rsid w:val="00EE7350"/>
    <w:rsid w:val="00EF00A3"/>
    <w:rsid w:val="00EF69A7"/>
    <w:rsid w:val="00F015FB"/>
    <w:rsid w:val="00F0322D"/>
    <w:rsid w:val="00F102DD"/>
    <w:rsid w:val="00F11004"/>
    <w:rsid w:val="00F140E1"/>
    <w:rsid w:val="00F14416"/>
    <w:rsid w:val="00F14E31"/>
    <w:rsid w:val="00F1628B"/>
    <w:rsid w:val="00F173E3"/>
    <w:rsid w:val="00F17F3D"/>
    <w:rsid w:val="00F20226"/>
    <w:rsid w:val="00F23ECD"/>
    <w:rsid w:val="00F324D9"/>
    <w:rsid w:val="00F41F50"/>
    <w:rsid w:val="00F47D60"/>
    <w:rsid w:val="00F505B1"/>
    <w:rsid w:val="00F54508"/>
    <w:rsid w:val="00F5529E"/>
    <w:rsid w:val="00F63D67"/>
    <w:rsid w:val="00F65975"/>
    <w:rsid w:val="00F70891"/>
    <w:rsid w:val="00F77272"/>
    <w:rsid w:val="00F81297"/>
    <w:rsid w:val="00F8167D"/>
    <w:rsid w:val="00F85C40"/>
    <w:rsid w:val="00F86473"/>
    <w:rsid w:val="00F86C79"/>
    <w:rsid w:val="00F87931"/>
    <w:rsid w:val="00F966F9"/>
    <w:rsid w:val="00FA0352"/>
    <w:rsid w:val="00FA1F8C"/>
    <w:rsid w:val="00FA2E41"/>
    <w:rsid w:val="00FA7770"/>
    <w:rsid w:val="00FB131A"/>
    <w:rsid w:val="00FB49C7"/>
    <w:rsid w:val="00FB6CAF"/>
    <w:rsid w:val="00FC19EC"/>
    <w:rsid w:val="00FC46C3"/>
    <w:rsid w:val="00FC4D6D"/>
    <w:rsid w:val="00FC555A"/>
    <w:rsid w:val="00FD0626"/>
    <w:rsid w:val="00FD0EAC"/>
    <w:rsid w:val="00FD7B8A"/>
    <w:rsid w:val="00FE0717"/>
    <w:rsid w:val="00FE2661"/>
    <w:rsid w:val="00FE30D8"/>
    <w:rsid w:val="00FE4BD5"/>
    <w:rsid w:val="01160E97"/>
    <w:rsid w:val="020C5B08"/>
    <w:rsid w:val="02BF1BB2"/>
    <w:rsid w:val="02EB5A03"/>
    <w:rsid w:val="030B27EE"/>
    <w:rsid w:val="03C15BD5"/>
    <w:rsid w:val="03C721C6"/>
    <w:rsid w:val="03E21A0C"/>
    <w:rsid w:val="03E34EB3"/>
    <w:rsid w:val="052E35F7"/>
    <w:rsid w:val="05382B89"/>
    <w:rsid w:val="05D45367"/>
    <w:rsid w:val="06AE2AF3"/>
    <w:rsid w:val="07AA615F"/>
    <w:rsid w:val="07B21BB3"/>
    <w:rsid w:val="07C41B25"/>
    <w:rsid w:val="080D2662"/>
    <w:rsid w:val="083257FD"/>
    <w:rsid w:val="084E794C"/>
    <w:rsid w:val="08816355"/>
    <w:rsid w:val="0955734C"/>
    <w:rsid w:val="095C4EFD"/>
    <w:rsid w:val="09740C1F"/>
    <w:rsid w:val="09CC2479"/>
    <w:rsid w:val="0A784653"/>
    <w:rsid w:val="0C7D73A5"/>
    <w:rsid w:val="0CFA5816"/>
    <w:rsid w:val="0E1F1EB1"/>
    <w:rsid w:val="0EB45570"/>
    <w:rsid w:val="0EF45637"/>
    <w:rsid w:val="0F0D683B"/>
    <w:rsid w:val="0FF56606"/>
    <w:rsid w:val="107C44FA"/>
    <w:rsid w:val="126B7345"/>
    <w:rsid w:val="126E303A"/>
    <w:rsid w:val="130F6453"/>
    <w:rsid w:val="13826402"/>
    <w:rsid w:val="13D312F3"/>
    <w:rsid w:val="13F279D3"/>
    <w:rsid w:val="14302A8C"/>
    <w:rsid w:val="153B65DE"/>
    <w:rsid w:val="157F0E31"/>
    <w:rsid w:val="162B49E7"/>
    <w:rsid w:val="166A0EEE"/>
    <w:rsid w:val="166D65D9"/>
    <w:rsid w:val="168A571A"/>
    <w:rsid w:val="168B0807"/>
    <w:rsid w:val="16BD2067"/>
    <w:rsid w:val="175440E6"/>
    <w:rsid w:val="184452CC"/>
    <w:rsid w:val="18AD236C"/>
    <w:rsid w:val="19A162F0"/>
    <w:rsid w:val="1A216A65"/>
    <w:rsid w:val="1A69091E"/>
    <w:rsid w:val="1B20140F"/>
    <w:rsid w:val="1B2B0766"/>
    <w:rsid w:val="1B61067A"/>
    <w:rsid w:val="1C840F88"/>
    <w:rsid w:val="1C903441"/>
    <w:rsid w:val="1DA04055"/>
    <w:rsid w:val="1E62130A"/>
    <w:rsid w:val="1E7B3C30"/>
    <w:rsid w:val="1E830843"/>
    <w:rsid w:val="1EC45B14"/>
    <w:rsid w:val="1FFE2705"/>
    <w:rsid w:val="203409FC"/>
    <w:rsid w:val="20386FA1"/>
    <w:rsid w:val="21223864"/>
    <w:rsid w:val="21D92F7C"/>
    <w:rsid w:val="22285C0A"/>
    <w:rsid w:val="228C240E"/>
    <w:rsid w:val="23431A60"/>
    <w:rsid w:val="24AE3CF4"/>
    <w:rsid w:val="24E11DF8"/>
    <w:rsid w:val="250908B9"/>
    <w:rsid w:val="25693E3E"/>
    <w:rsid w:val="256F2CDE"/>
    <w:rsid w:val="268C04BE"/>
    <w:rsid w:val="276608B4"/>
    <w:rsid w:val="27DF2454"/>
    <w:rsid w:val="27ED3794"/>
    <w:rsid w:val="27F20E2F"/>
    <w:rsid w:val="282D4176"/>
    <w:rsid w:val="28F8218D"/>
    <w:rsid w:val="29A72544"/>
    <w:rsid w:val="29D01359"/>
    <w:rsid w:val="2A1126AC"/>
    <w:rsid w:val="2AF060B2"/>
    <w:rsid w:val="2B001316"/>
    <w:rsid w:val="2B205700"/>
    <w:rsid w:val="2B241C6B"/>
    <w:rsid w:val="2BBD31F0"/>
    <w:rsid w:val="2BD3340F"/>
    <w:rsid w:val="2DD76E0D"/>
    <w:rsid w:val="2EFC495F"/>
    <w:rsid w:val="2F3C1B38"/>
    <w:rsid w:val="2F720D97"/>
    <w:rsid w:val="2FA14CC6"/>
    <w:rsid w:val="2FB83CB3"/>
    <w:rsid w:val="2FEE164B"/>
    <w:rsid w:val="300F3243"/>
    <w:rsid w:val="302325B6"/>
    <w:rsid w:val="303F552A"/>
    <w:rsid w:val="304441B4"/>
    <w:rsid w:val="30EF469C"/>
    <w:rsid w:val="3125515C"/>
    <w:rsid w:val="314A2113"/>
    <w:rsid w:val="31590F48"/>
    <w:rsid w:val="320D1B6E"/>
    <w:rsid w:val="325F3361"/>
    <w:rsid w:val="32907C03"/>
    <w:rsid w:val="33E65004"/>
    <w:rsid w:val="33EB36F8"/>
    <w:rsid w:val="34744D19"/>
    <w:rsid w:val="3496649D"/>
    <w:rsid w:val="34B75C9B"/>
    <w:rsid w:val="34E74B4B"/>
    <w:rsid w:val="34F01D3D"/>
    <w:rsid w:val="35013C6A"/>
    <w:rsid w:val="359A340E"/>
    <w:rsid w:val="35E439C0"/>
    <w:rsid w:val="35F83CBA"/>
    <w:rsid w:val="365F18C8"/>
    <w:rsid w:val="37AE597C"/>
    <w:rsid w:val="389B1938"/>
    <w:rsid w:val="38CC68DA"/>
    <w:rsid w:val="38DA41ED"/>
    <w:rsid w:val="38E76986"/>
    <w:rsid w:val="39305D17"/>
    <w:rsid w:val="39E135D3"/>
    <w:rsid w:val="3AE67AC0"/>
    <w:rsid w:val="3AF30A42"/>
    <w:rsid w:val="3B275D23"/>
    <w:rsid w:val="3BF1215B"/>
    <w:rsid w:val="3C510382"/>
    <w:rsid w:val="3CBF562B"/>
    <w:rsid w:val="3D220CDB"/>
    <w:rsid w:val="3DDA2765"/>
    <w:rsid w:val="3E0E51DB"/>
    <w:rsid w:val="3E2C20CD"/>
    <w:rsid w:val="3E6A0B57"/>
    <w:rsid w:val="3E8B7FB1"/>
    <w:rsid w:val="3FF52A68"/>
    <w:rsid w:val="406125ED"/>
    <w:rsid w:val="40831D44"/>
    <w:rsid w:val="40FE2C98"/>
    <w:rsid w:val="412A6066"/>
    <w:rsid w:val="41E44AA7"/>
    <w:rsid w:val="421F06AD"/>
    <w:rsid w:val="424264E0"/>
    <w:rsid w:val="43DB1093"/>
    <w:rsid w:val="44BC57E7"/>
    <w:rsid w:val="44CB78EB"/>
    <w:rsid w:val="452855E6"/>
    <w:rsid w:val="461A4108"/>
    <w:rsid w:val="46752C44"/>
    <w:rsid w:val="47207EBE"/>
    <w:rsid w:val="47ED4E19"/>
    <w:rsid w:val="4895402C"/>
    <w:rsid w:val="49070F35"/>
    <w:rsid w:val="49575334"/>
    <w:rsid w:val="4A2A7E6B"/>
    <w:rsid w:val="4A365EF1"/>
    <w:rsid w:val="4ADB2857"/>
    <w:rsid w:val="4C6273BC"/>
    <w:rsid w:val="4E04626E"/>
    <w:rsid w:val="4E052D7C"/>
    <w:rsid w:val="4E5B45C3"/>
    <w:rsid w:val="4EBC1A69"/>
    <w:rsid w:val="4EFA3EC4"/>
    <w:rsid w:val="4F684014"/>
    <w:rsid w:val="4FDA7E67"/>
    <w:rsid w:val="50922842"/>
    <w:rsid w:val="50F66965"/>
    <w:rsid w:val="513C03B8"/>
    <w:rsid w:val="51556C0F"/>
    <w:rsid w:val="51CD6BBA"/>
    <w:rsid w:val="51F74CB5"/>
    <w:rsid w:val="52F24BBA"/>
    <w:rsid w:val="532F6A9D"/>
    <w:rsid w:val="544D38E7"/>
    <w:rsid w:val="55635BD3"/>
    <w:rsid w:val="55702416"/>
    <w:rsid w:val="559E56DC"/>
    <w:rsid w:val="55D025B4"/>
    <w:rsid w:val="561F6FFA"/>
    <w:rsid w:val="570A7517"/>
    <w:rsid w:val="57533E35"/>
    <w:rsid w:val="57685B5C"/>
    <w:rsid w:val="57AB2C3A"/>
    <w:rsid w:val="581C6D24"/>
    <w:rsid w:val="58707D63"/>
    <w:rsid w:val="58B41C54"/>
    <w:rsid w:val="596D6F1E"/>
    <w:rsid w:val="5AB6431F"/>
    <w:rsid w:val="5D585C45"/>
    <w:rsid w:val="5D9546FA"/>
    <w:rsid w:val="5DA7040D"/>
    <w:rsid w:val="60780BC8"/>
    <w:rsid w:val="609822C5"/>
    <w:rsid w:val="60C555B8"/>
    <w:rsid w:val="60DA61C2"/>
    <w:rsid w:val="61AC58ED"/>
    <w:rsid w:val="62CE3D7C"/>
    <w:rsid w:val="630F1D3A"/>
    <w:rsid w:val="63132A05"/>
    <w:rsid w:val="63642499"/>
    <w:rsid w:val="64864D62"/>
    <w:rsid w:val="648C1CA9"/>
    <w:rsid w:val="65546327"/>
    <w:rsid w:val="662916CD"/>
    <w:rsid w:val="663B7941"/>
    <w:rsid w:val="668A6E54"/>
    <w:rsid w:val="66B12615"/>
    <w:rsid w:val="66E30C9B"/>
    <w:rsid w:val="675C6BB1"/>
    <w:rsid w:val="675E6520"/>
    <w:rsid w:val="67EB13BF"/>
    <w:rsid w:val="683A2222"/>
    <w:rsid w:val="698C3997"/>
    <w:rsid w:val="6AAE06A8"/>
    <w:rsid w:val="6B5912E8"/>
    <w:rsid w:val="6BC07407"/>
    <w:rsid w:val="6BFD1410"/>
    <w:rsid w:val="6CB855E1"/>
    <w:rsid w:val="6CD66F08"/>
    <w:rsid w:val="6CE30154"/>
    <w:rsid w:val="6CF26828"/>
    <w:rsid w:val="6CF548D2"/>
    <w:rsid w:val="6D4678A5"/>
    <w:rsid w:val="6DBC4496"/>
    <w:rsid w:val="6F775701"/>
    <w:rsid w:val="6F777D98"/>
    <w:rsid w:val="6FF00279"/>
    <w:rsid w:val="70A11C97"/>
    <w:rsid w:val="70BA0317"/>
    <w:rsid w:val="70BD17C5"/>
    <w:rsid w:val="72592BB0"/>
    <w:rsid w:val="72684093"/>
    <w:rsid w:val="7278242D"/>
    <w:rsid w:val="731504C3"/>
    <w:rsid w:val="733247EF"/>
    <w:rsid w:val="73636615"/>
    <w:rsid w:val="73FD1ACD"/>
    <w:rsid w:val="740F31D0"/>
    <w:rsid w:val="743F0484"/>
    <w:rsid w:val="7440091B"/>
    <w:rsid w:val="750E2A92"/>
    <w:rsid w:val="751D30F3"/>
    <w:rsid w:val="75866433"/>
    <w:rsid w:val="75885BD2"/>
    <w:rsid w:val="75F32B7D"/>
    <w:rsid w:val="769D0814"/>
    <w:rsid w:val="76AD7901"/>
    <w:rsid w:val="76E569AA"/>
    <w:rsid w:val="77520943"/>
    <w:rsid w:val="77825AD6"/>
    <w:rsid w:val="77B24A56"/>
    <w:rsid w:val="789219D0"/>
    <w:rsid w:val="78BB6EAA"/>
    <w:rsid w:val="78C77A79"/>
    <w:rsid w:val="792F203E"/>
    <w:rsid w:val="7A5035E4"/>
    <w:rsid w:val="7ACB38A1"/>
    <w:rsid w:val="7B2378E9"/>
    <w:rsid w:val="7C1D7EAA"/>
    <w:rsid w:val="7C9663A3"/>
    <w:rsid w:val="7CF60B06"/>
    <w:rsid w:val="7E0173A1"/>
    <w:rsid w:val="7E925CC0"/>
    <w:rsid w:val="7EB777BC"/>
    <w:rsid w:val="7F1A4F3F"/>
    <w:rsid w:val="7FBE1CF5"/>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540"/>
      <w:outlineLvl w:val="0"/>
    </w:pPr>
    <w:rPr>
      <w:rFonts w:ascii="宋体" w:hAnsi="宋体"/>
      <w:b/>
      <w:bCs/>
      <w:sz w:val="28"/>
      <w:szCs w:val="28"/>
    </w:rPr>
  </w:style>
  <w:style w:type="paragraph" w:styleId="3">
    <w:name w:val="heading 2"/>
    <w:basedOn w:val="1"/>
    <w:next w:val="1"/>
    <w:qFormat/>
    <w:uiPriority w:val="1"/>
    <w:pPr>
      <w:spacing w:before="137"/>
      <w:ind w:left="600"/>
      <w:outlineLvl w:val="1"/>
    </w:pPr>
    <w:rPr>
      <w:rFonts w:ascii="Arial Unicode MS" w:hAnsi="Arial Unicode MS" w:eastAsia="Arial Unicode MS"/>
      <w:b/>
      <w:bCs/>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w:basedOn w:val="1"/>
    <w:qFormat/>
    <w:uiPriority w:val="1"/>
    <w:pPr>
      <w:spacing w:before="31"/>
      <w:ind w:left="119"/>
    </w:pPr>
    <w:rPr>
      <w:rFonts w:ascii="Arial Unicode MS" w:hAnsi="Arial Unicode MS" w:eastAsia="Arial Unicode MS"/>
      <w:szCs w:val="21"/>
    </w:rPr>
  </w:style>
  <w:style w:type="paragraph" w:styleId="6">
    <w:name w:val="Plain Text"/>
    <w:basedOn w:val="1"/>
    <w:link w:val="19"/>
    <w:qFormat/>
    <w:uiPriority w:val="0"/>
    <w:rPr>
      <w:rFonts w:ascii="宋体" w:hAnsi="Courier New" w:cs="Courier New"/>
      <w:bCs/>
      <w:szCs w:val="21"/>
    </w:rPr>
  </w:style>
  <w:style w:type="paragraph" w:styleId="7">
    <w:name w:val="Balloon Text"/>
    <w:basedOn w:val="1"/>
    <w:link w:val="20"/>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link w:val="23"/>
    <w:qFormat/>
    <w:uiPriority w:val="0"/>
    <w:pPr>
      <w:snapToGrid w:val="0"/>
      <w:jc w:val="left"/>
    </w:pPr>
    <w:rPr>
      <w:rFonts w:ascii="Calibri" w:hAnsi="Calibri" w:eastAsia="微软雅黑"/>
      <w:sz w:val="18"/>
      <w:szCs w:val="18"/>
    </w:rPr>
  </w:style>
  <w:style w:type="paragraph" w:styleId="11">
    <w:name w:val="annotation subject"/>
    <w:basedOn w:val="4"/>
    <w:next w:val="4"/>
    <w:link w:val="38"/>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unhideWhenUsed/>
    <w:qFormat/>
    <w:uiPriority w:val="99"/>
    <w:rPr>
      <w:color w:val="800080"/>
      <w:u w:val="single"/>
    </w:rPr>
  </w:style>
  <w:style w:type="character" w:styleId="16">
    <w:name w:val="Hyperlink"/>
    <w:unhideWhenUsed/>
    <w:qFormat/>
    <w:uiPriority w:val="99"/>
    <w:rPr>
      <w:color w:val="0000FF"/>
      <w:u w:val="single"/>
    </w:rPr>
  </w:style>
  <w:style w:type="character" w:styleId="17">
    <w:name w:val="annotation reference"/>
    <w:basedOn w:val="14"/>
    <w:qFormat/>
    <w:uiPriority w:val="0"/>
    <w:rPr>
      <w:sz w:val="21"/>
      <w:szCs w:val="21"/>
    </w:rPr>
  </w:style>
  <w:style w:type="character" w:customStyle="1" w:styleId="18">
    <w:name w:val="批注文字 字符"/>
    <w:basedOn w:val="14"/>
    <w:link w:val="4"/>
    <w:qFormat/>
    <w:uiPriority w:val="0"/>
    <w:rPr>
      <w:kern w:val="2"/>
      <w:sz w:val="21"/>
      <w:szCs w:val="24"/>
    </w:rPr>
  </w:style>
  <w:style w:type="character" w:customStyle="1" w:styleId="19">
    <w:name w:val="纯文本 字符1"/>
    <w:link w:val="6"/>
    <w:qFormat/>
    <w:uiPriority w:val="0"/>
    <w:rPr>
      <w:rFonts w:ascii="宋体" w:hAnsi="Courier New" w:eastAsia="宋体" w:cs="Courier New"/>
      <w:bCs/>
      <w:kern w:val="2"/>
      <w:sz w:val="21"/>
      <w:szCs w:val="21"/>
      <w:lang w:val="en-US" w:eastAsia="zh-CN" w:bidi="ar-SA"/>
    </w:rPr>
  </w:style>
  <w:style w:type="character" w:customStyle="1" w:styleId="20">
    <w:name w:val="批注框文本 字符1"/>
    <w:link w:val="7"/>
    <w:qFormat/>
    <w:uiPriority w:val="0"/>
    <w:rPr>
      <w:kern w:val="2"/>
      <w:sz w:val="18"/>
      <w:szCs w:val="18"/>
    </w:rPr>
  </w:style>
  <w:style w:type="character" w:customStyle="1" w:styleId="21">
    <w:name w:val="页脚 字符"/>
    <w:link w:val="8"/>
    <w:qFormat/>
    <w:uiPriority w:val="99"/>
    <w:rPr>
      <w:kern w:val="2"/>
      <w:sz w:val="18"/>
      <w:szCs w:val="18"/>
    </w:rPr>
  </w:style>
  <w:style w:type="character" w:customStyle="1" w:styleId="22">
    <w:name w:val="页眉 字符"/>
    <w:basedOn w:val="14"/>
    <w:link w:val="9"/>
    <w:qFormat/>
    <w:uiPriority w:val="0"/>
    <w:rPr>
      <w:kern w:val="2"/>
      <w:sz w:val="18"/>
      <w:szCs w:val="24"/>
    </w:rPr>
  </w:style>
  <w:style w:type="character" w:customStyle="1" w:styleId="23">
    <w:name w:val="脚注文本 字符1"/>
    <w:link w:val="10"/>
    <w:qFormat/>
    <w:uiPriority w:val="0"/>
    <w:rPr>
      <w:rFonts w:hint="default" w:ascii="Calibri" w:hAnsi="Calibri" w:eastAsia="微软雅黑" w:cs="Times New Roman"/>
      <w:kern w:val="2"/>
      <w:sz w:val="18"/>
      <w:szCs w:val="18"/>
    </w:rPr>
  </w:style>
  <w:style w:type="paragraph" w:customStyle="1" w:styleId="24">
    <w:name w:val="Char Char Char Char"/>
    <w:basedOn w:val="1"/>
    <w:qFormat/>
    <w:uiPriority w:val="0"/>
    <w:pPr>
      <w:adjustRightInd w:val="0"/>
      <w:spacing w:line="360" w:lineRule="atLeast"/>
      <w:textAlignment w:val="baseline"/>
    </w:pPr>
  </w:style>
  <w:style w:type="paragraph" w:customStyle="1" w:styleId="25">
    <w:name w:val="_Style 15"/>
    <w:basedOn w:val="1"/>
    <w:qFormat/>
    <w:uiPriority w:val="34"/>
    <w:pPr>
      <w:widowControl/>
      <w:ind w:left="720"/>
      <w:contextualSpacing/>
      <w:jc w:val="left"/>
    </w:pPr>
    <w:rPr>
      <w:rFonts w:eastAsia="Times New Roman"/>
      <w:kern w:val="0"/>
      <w:sz w:val="24"/>
    </w:rPr>
  </w:style>
  <w:style w:type="character" w:customStyle="1" w:styleId="26">
    <w:name w:val="font01"/>
    <w:qFormat/>
    <w:uiPriority w:val="0"/>
    <w:rPr>
      <w:rFonts w:hint="eastAsia" w:ascii="楷体" w:hAnsi="楷体" w:eastAsia="楷体" w:cs="楷体"/>
      <w:color w:val="000000"/>
      <w:sz w:val="21"/>
      <w:szCs w:val="21"/>
      <w:u w:val="none"/>
    </w:rPr>
  </w:style>
  <w:style w:type="character" w:customStyle="1" w:styleId="27">
    <w:name w:val="font11"/>
    <w:qFormat/>
    <w:uiPriority w:val="0"/>
    <w:rPr>
      <w:rFonts w:hint="eastAsia" w:ascii="楷体" w:hAnsi="楷体" w:eastAsia="楷体" w:cs="楷体"/>
      <w:color w:val="000000"/>
      <w:sz w:val="21"/>
      <w:szCs w:val="21"/>
      <w:u w:val="none"/>
    </w:rPr>
  </w:style>
  <w:style w:type="character" w:customStyle="1" w:styleId="28">
    <w:name w:val="font41"/>
    <w:qFormat/>
    <w:uiPriority w:val="0"/>
    <w:rPr>
      <w:rFonts w:hint="default" w:ascii="Times New Roman" w:hAnsi="Times New Roman" w:cs="Times New Roman"/>
      <w:b/>
      <w:color w:val="000000"/>
      <w:sz w:val="22"/>
      <w:szCs w:val="22"/>
      <w:u w:val="none"/>
    </w:rPr>
  </w:style>
  <w:style w:type="character" w:customStyle="1" w:styleId="29">
    <w:name w:val="font21"/>
    <w:qFormat/>
    <w:uiPriority w:val="0"/>
    <w:rPr>
      <w:rFonts w:hint="eastAsia" w:ascii="宋体" w:hAnsi="宋体" w:eastAsia="宋体" w:cs="宋体"/>
      <w:b/>
      <w:color w:val="000000"/>
      <w:sz w:val="22"/>
      <w:szCs w:val="22"/>
      <w:u w:val="none"/>
    </w:rPr>
  </w:style>
  <w:style w:type="character" w:customStyle="1" w:styleId="30">
    <w:name w:val="font31"/>
    <w:qFormat/>
    <w:uiPriority w:val="0"/>
    <w:rPr>
      <w:rFonts w:ascii="楷体" w:hAnsi="楷体" w:eastAsia="楷体" w:cs="楷体"/>
      <w:b/>
      <w:color w:val="000000"/>
      <w:sz w:val="22"/>
      <w:szCs w:val="22"/>
      <w:u w:val="none"/>
    </w:rPr>
  </w:style>
  <w:style w:type="character" w:customStyle="1" w:styleId="31">
    <w:name w:val="纯文本 Char1"/>
    <w:semiHidden/>
    <w:qFormat/>
    <w:uiPriority w:val="99"/>
    <w:rPr>
      <w:rFonts w:ascii="宋体" w:hAnsi="Courier New" w:eastAsia="宋体" w:cs="Courier New"/>
      <w:szCs w:val="21"/>
    </w:rPr>
  </w:style>
  <w:style w:type="character" w:customStyle="1" w:styleId="32">
    <w:name w:val="纯文本 字符"/>
    <w:qFormat/>
    <w:uiPriority w:val="0"/>
    <w:rPr>
      <w:rFonts w:ascii="宋体" w:hAnsi="Courier New" w:eastAsia="宋体" w:cs="Courier New"/>
      <w:bCs/>
      <w:kern w:val="2"/>
      <w:sz w:val="21"/>
      <w:szCs w:val="21"/>
      <w:lang w:val="en-US" w:eastAsia="zh-CN" w:bidi="ar-SA"/>
    </w:rPr>
  </w:style>
  <w:style w:type="character" w:customStyle="1" w:styleId="33">
    <w:name w:val="脚注文本 字符"/>
    <w:qFormat/>
    <w:uiPriority w:val="0"/>
    <w:rPr>
      <w:rFonts w:ascii="Times New Roman" w:hAnsi="Times New Roman" w:eastAsia="宋体" w:cs="Times New Roman"/>
      <w:sz w:val="18"/>
      <w:szCs w:val="18"/>
    </w:rPr>
  </w:style>
  <w:style w:type="character" w:customStyle="1" w:styleId="34">
    <w:name w:val="font151"/>
    <w:qFormat/>
    <w:uiPriority w:val="0"/>
    <w:rPr>
      <w:rFonts w:hint="eastAsia" w:ascii="楷体" w:hAnsi="楷体" w:eastAsia="楷体"/>
      <w:color w:val="000000"/>
      <w:sz w:val="21"/>
      <w:szCs w:val="21"/>
      <w:u w:val="none"/>
    </w:rPr>
  </w:style>
  <w:style w:type="character" w:customStyle="1" w:styleId="35">
    <w:name w:val="批注文字 Char"/>
    <w:qFormat/>
    <w:uiPriority w:val="0"/>
    <w:rPr>
      <w:kern w:val="2"/>
      <w:sz w:val="21"/>
      <w:szCs w:val="24"/>
    </w:rPr>
  </w:style>
  <w:style w:type="character" w:customStyle="1" w:styleId="36">
    <w:name w:val="font141"/>
    <w:qFormat/>
    <w:uiPriority w:val="0"/>
    <w:rPr>
      <w:rFonts w:hint="default" w:ascii="Times New Roman" w:hAnsi="Times New Roman" w:cs="Times New Roman"/>
      <w:color w:val="000000"/>
      <w:sz w:val="21"/>
      <w:szCs w:val="21"/>
      <w:u w:val="none"/>
    </w:rPr>
  </w:style>
  <w:style w:type="character" w:customStyle="1" w:styleId="37">
    <w:name w:val="批注框文本 字符"/>
    <w:qFormat/>
    <w:uiPriority w:val="0"/>
    <w:rPr>
      <w:rFonts w:ascii="Times New Roman" w:hAnsi="Times New Roman" w:eastAsia="宋体" w:cs="Times New Roman"/>
      <w:sz w:val="18"/>
      <w:szCs w:val="18"/>
    </w:rPr>
  </w:style>
  <w:style w:type="character" w:customStyle="1" w:styleId="38">
    <w:name w:val="批注主题 字符"/>
    <w:link w:val="11"/>
    <w:qFormat/>
    <w:uiPriority w:val="0"/>
    <w:rPr>
      <w:b/>
      <w:bCs/>
      <w:kern w:val="2"/>
      <w:sz w:val="21"/>
      <w:szCs w:val="24"/>
    </w:rPr>
  </w:style>
  <w:style w:type="character" w:customStyle="1" w:styleId="39">
    <w:name w:val="批注主题 Char1"/>
    <w:basedOn w:val="18"/>
    <w:semiHidden/>
    <w:qFormat/>
    <w:uiPriority w:val="0"/>
    <w:rPr>
      <w:b/>
      <w:bCs/>
      <w:kern w:val="2"/>
      <w:sz w:val="21"/>
      <w:szCs w:val="24"/>
    </w:rPr>
  </w:style>
  <w:style w:type="paragraph" w:customStyle="1" w:styleId="40">
    <w:name w:val="xl71"/>
    <w:basedOn w:val="1"/>
    <w:qFormat/>
    <w:uiPriority w:val="0"/>
    <w:pPr>
      <w:widowControl/>
      <w:pBdr>
        <w:left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xl6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b/>
      <w:bCs/>
      <w:color w:val="000000"/>
      <w:kern w:val="0"/>
      <w:szCs w:val="21"/>
    </w:rPr>
  </w:style>
  <w:style w:type="paragraph" w:customStyle="1" w:styleId="43">
    <w:name w:val="xl6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kern w:val="0"/>
      <w:szCs w:val="21"/>
    </w:rPr>
  </w:style>
  <w:style w:type="paragraph" w:customStyle="1" w:styleId="4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xl73"/>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6">
    <w:name w:val="xl6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kern w:val="0"/>
      <w:szCs w:val="21"/>
    </w:rPr>
  </w:style>
  <w:style w:type="paragraph" w:customStyle="1" w:styleId="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9">
    <w:name w:val="xl7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0">
    <w:name w:val="font7"/>
    <w:basedOn w:val="1"/>
    <w:qFormat/>
    <w:uiPriority w:val="0"/>
    <w:pPr>
      <w:widowControl/>
      <w:spacing w:before="100" w:beforeAutospacing="1" w:after="100" w:afterAutospacing="1"/>
      <w:jc w:val="left"/>
    </w:pPr>
    <w:rPr>
      <w:rFonts w:ascii="楷体" w:hAnsi="楷体" w:eastAsia="楷体" w:cs="宋体"/>
      <w:color w:val="000000"/>
      <w:kern w:val="0"/>
      <w:szCs w:val="21"/>
    </w:rPr>
  </w:style>
  <w:style w:type="paragraph" w:customStyle="1" w:styleId="51">
    <w:name w:val="font6"/>
    <w:basedOn w:val="1"/>
    <w:qFormat/>
    <w:uiPriority w:val="0"/>
    <w:pPr>
      <w:widowControl/>
      <w:spacing w:before="100" w:beforeAutospacing="1" w:after="100" w:afterAutospacing="1"/>
      <w:jc w:val="left"/>
    </w:pPr>
    <w:rPr>
      <w:color w:val="000000"/>
      <w:kern w:val="0"/>
      <w:szCs w:val="21"/>
    </w:rPr>
  </w:style>
  <w:style w:type="paragraph" w:styleId="52">
    <w:name w:val="List Paragraph"/>
    <w:basedOn w:val="1"/>
    <w:qFormat/>
    <w:uiPriority w:val="34"/>
    <w:pPr>
      <w:widowControl/>
      <w:ind w:left="720"/>
      <w:contextualSpacing/>
      <w:jc w:val="left"/>
    </w:pPr>
    <w:rPr>
      <w:rFonts w:eastAsia="Times New Roman"/>
      <w:kern w:val="0"/>
      <w:sz w:val="24"/>
    </w:rPr>
  </w:style>
  <w:style w:type="paragraph" w:customStyle="1" w:styleId="53">
    <w:name w:val="xl68"/>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楷体" w:hAnsi="楷体" w:eastAsia="楷体" w:cs="宋体"/>
      <w:kern w:val="0"/>
      <w:szCs w:val="21"/>
    </w:rPr>
  </w:style>
  <w:style w:type="paragraph" w:customStyle="1" w:styleId="54">
    <w:name w:val="xl72"/>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5">
    <w:name w:val="xl7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6">
    <w:name w:val="xl70"/>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szCs w:val="21"/>
    </w:rPr>
  </w:style>
  <w:style w:type="character" w:customStyle="1" w:styleId="57">
    <w:name w:val="font51"/>
    <w:basedOn w:val="14"/>
    <w:qFormat/>
    <w:uiPriority w:val="0"/>
    <w:rPr>
      <w:rFonts w:hint="eastAsia" w:ascii="楷体" w:hAnsi="楷体" w:eastAsia="楷体" w:cs="楷体"/>
      <w:color w:val="000000"/>
      <w:sz w:val="21"/>
      <w:szCs w:val="21"/>
      <w:u w:val="none"/>
    </w:rPr>
  </w:style>
  <w:style w:type="character" w:customStyle="1" w:styleId="58">
    <w:name w:val="font71"/>
    <w:basedOn w:val="14"/>
    <w:qFormat/>
    <w:uiPriority w:val="0"/>
    <w:rPr>
      <w:rFonts w:ascii="仿宋" w:hAnsi="仿宋" w:eastAsia="仿宋" w:cs="仿宋"/>
      <w:color w:val="000000"/>
      <w:sz w:val="21"/>
      <w:szCs w:val="21"/>
      <w:u w:val="none"/>
    </w:rPr>
  </w:style>
  <w:style w:type="character" w:customStyle="1" w:styleId="59">
    <w:name w:val="font61"/>
    <w:basedOn w:val="14"/>
    <w:qFormat/>
    <w:uiPriority w:val="0"/>
    <w:rPr>
      <w:rFonts w:hint="default" w:ascii="Times New Roman" w:hAnsi="Times New Roman" w:cs="Times New Roman"/>
      <w:color w:val="000000"/>
      <w:sz w:val="18"/>
      <w:szCs w:val="18"/>
      <w:u w:val="none"/>
    </w:rPr>
  </w:style>
  <w:style w:type="character" w:customStyle="1" w:styleId="60">
    <w:name w:val="font81"/>
    <w:basedOn w:val="14"/>
    <w:qFormat/>
    <w:uiPriority w:val="0"/>
    <w:rPr>
      <w:rFonts w:hint="eastAsia" w:ascii="楷体" w:hAnsi="楷体" w:eastAsia="楷体" w:cs="楷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B220-F6EF-4F9F-A7B3-782F5D6F7FA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5</Pages>
  <Words>4714</Words>
  <Characters>4916</Characters>
  <Lines>38</Lines>
  <Paragraphs>10</Paragraphs>
  <TotalTime>0</TotalTime>
  <ScaleCrop>false</ScaleCrop>
  <LinksUpToDate>false</LinksUpToDate>
  <CharactersWithSpaces>5043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2019-04-29T05:13:00Z</dcterms:created>
  <dc:creator>Administrator</dc:creator>
  <cp:lastModifiedBy>温家梅</cp:lastModifiedBy>
  <cp:lastPrinted>2019-03-27T00:37:00Z</cp:lastPrinted>
  <dcterms:modified xsi:type="dcterms:W3CDTF">2022-07-04T09:43:17Z</dcterms:modified>
  <dc:title>附件2</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53CBEEA34F7946A9899D0345AC431044</vt:lpwstr>
  </property>
</Properties>
</file>