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15827">
      <w:pPr>
        <w:jc w:val="center"/>
        <w:rPr>
          <w:b/>
          <w:sz w:val="44"/>
          <w:szCs w:val="44"/>
        </w:rPr>
      </w:pPr>
      <w:bookmarkStart w:id="0" w:name="OLE_LINK1"/>
      <w:r>
        <w:rPr>
          <w:b/>
          <w:bCs/>
          <w:sz w:val="44"/>
          <w:szCs w:val="44"/>
        </w:rPr>
        <w:t>20</w:t>
      </w:r>
      <w:r>
        <w:rPr>
          <w:rFonts w:hint="eastAsia"/>
          <w:b/>
          <w:bCs/>
          <w:sz w:val="44"/>
          <w:szCs w:val="44"/>
        </w:rPr>
        <w:t>2</w:t>
      </w:r>
      <w:bookmarkEnd w:id="0"/>
      <w:r>
        <w:rPr>
          <w:rFonts w:hint="eastAsia"/>
          <w:b/>
          <w:bCs/>
          <w:sz w:val="44"/>
          <w:szCs w:val="44"/>
          <w:lang w:val="en-US" w:eastAsia="zh-CN"/>
        </w:rPr>
        <w:t>6</w:t>
      </w:r>
      <w:r>
        <w:rPr>
          <w:rFonts w:hint="eastAsia" w:ascii="_x000B__x000C_" w:hAnsi="_x000B__x000C_"/>
          <w:b/>
          <w:bCs/>
          <w:sz w:val="44"/>
          <w:szCs w:val="18"/>
        </w:rPr>
        <w:t>年</w:t>
      </w:r>
      <w:r>
        <w:rPr>
          <w:rFonts w:hint="eastAsia"/>
          <w:b/>
          <w:sz w:val="44"/>
          <w:szCs w:val="44"/>
        </w:rPr>
        <w:t>电气工程及其自动化专业</w:t>
      </w:r>
    </w:p>
    <w:p w14:paraId="4D2E04F8">
      <w:pPr>
        <w:jc w:val="center"/>
        <w:rPr>
          <w:b/>
          <w:bCs/>
          <w:sz w:val="44"/>
          <w:szCs w:val="18"/>
        </w:rPr>
      </w:pPr>
      <w:r>
        <w:rPr>
          <w:rFonts w:hint="eastAsia"/>
          <w:b/>
          <w:sz w:val="44"/>
          <w:szCs w:val="44"/>
        </w:rPr>
        <w:t>专升本人才培养方案</w:t>
      </w:r>
    </w:p>
    <w:p w14:paraId="0A09E91E">
      <w:pPr>
        <w:spacing w:before="312" w:beforeLines="100"/>
        <w:ind w:left="420" w:leftChars="200"/>
        <w:rPr>
          <w:b/>
          <w:bCs/>
          <w:sz w:val="28"/>
          <w:szCs w:val="28"/>
        </w:rPr>
      </w:pPr>
      <w:r>
        <w:rPr>
          <w:b/>
          <w:bCs/>
          <w:sz w:val="28"/>
          <w:szCs w:val="28"/>
        </w:rPr>
        <w:t>一、专业名称、代码和学制</w:t>
      </w:r>
    </w:p>
    <w:p w14:paraId="790C3852">
      <w:pPr>
        <w:pStyle w:val="6"/>
        <w:spacing w:before="156" w:beforeLines="50" w:after="156" w:afterLines="50" w:line="400" w:lineRule="exact"/>
        <w:ind w:left="482"/>
        <w:outlineLvl w:val="0"/>
        <w:rPr>
          <w:rFonts w:hint="eastAsia" w:hAnsi="宋体" w:cs="Times New Roman"/>
          <w:b/>
          <w:sz w:val="24"/>
          <w:szCs w:val="24"/>
        </w:rPr>
      </w:pPr>
      <w:r>
        <w:rPr>
          <w:rFonts w:hAnsi="宋体" w:cs="Times New Roman"/>
          <w:b/>
          <w:sz w:val="24"/>
          <w:szCs w:val="24"/>
        </w:rPr>
        <w:t>（一）专业名称（中英文）：</w:t>
      </w:r>
      <w:r>
        <w:rPr>
          <w:rFonts w:hint="eastAsia" w:hAnsi="宋体" w:cs="Times New Roman"/>
          <w:b/>
          <w:sz w:val="24"/>
          <w:szCs w:val="24"/>
        </w:rPr>
        <w:t>电气工程及其自动化</w:t>
      </w:r>
      <w:r>
        <w:rPr>
          <w:rFonts w:hAnsi="宋体" w:cs="Times New Roman"/>
          <w:b/>
          <w:sz w:val="24"/>
          <w:szCs w:val="24"/>
        </w:rPr>
        <w:t>（</w:t>
      </w:r>
      <w:r>
        <w:rPr>
          <w:rFonts w:hint="eastAsia" w:hAnsi="宋体" w:cs="Times New Roman"/>
          <w:b/>
          <w:sz w:val="24"/>
          <w:szCs w:val="24"/>
        </w:rPr>
        <w:t>Electr</w:t>
      </w:r>
      <w:r>
        <w:rPr>
          <w:rFonts w:hAnsi="宋体" w:cs="Times New Roman"/>
          <w:b/>
          <w:sz w:val="24"/>
          <w:szCs w:val="24"/>
        </w:rPr>
        <w:t>ical</w:t>
      </w:r>
      <w:r>
        <w:rPr>
          <w:rFonts w:hint="eastAsia" w:hAnsi="宋体" w:cs="Times New Roman"/>
          <w:b/>
          <w:sz w:val="24"/>
          <w:szCs w:val="24"/>
        </w:rPr>
        <w:t xml:space="preserve"> </w:t>
      </w:r>
      <w:r>
        <w:rPr>
          <w:rFonts w:hAnsi="宋体" w:cs="Times New Roman"/>
          <w:b/>
          <w:sz w:val="24"/>
          <w:szCs w:val="24"/>
        </w:rPr>
        <w:t>Engineering and Automation）</w:t>
      </w:r>
    </w:p>
    <w:p w14:paraId="16337D9C">
      <w:pPr>
        <w:pStyle w:val="6"/>
        <w:spacing w:before="156" w:beforeLines="50" w:line="400" w:lineRule="exact"/>
        <w:ind w:left="482"/>
        <w:rPr>
          <w:rFonts w:hAnsi="宋体" w:cs="Times New Roman"/>
          <w:b/>
          <w:sz w:val="24"/>
          <w:szCs w:val="24"/>
        </w:rPr>
      </w:pPr>
      <w:r>
        <w:rPr>
          <w:rFonts w:hAnsi="宋体" w:cs="Times New Roman"/>
          <w:b/>
          <w:sz w:val="24"/>
          <w:szCs w:val="24"/>
        </w:rPr>
        <w:t>（二）专业代码</w:t>
      </w:r>
      <w:r>
        <w:rPr>
          <w:rFonts w:hint="eastAsia" w:hAnsi="宋体" w:cs="Times New Roman"/>
          <w:b/>
          <w:sz w:val="24"/>
          <w:szCs w:val="24"/>
        </w:rPr>
        <w:t xml:space="preserve"> ：</w:t>
      </w:r>
      <w:r>
        <w:rPr>
          <w:rFonts w:hAnsi="宋体" w:cs="Times New Roman"/>
          <w:b/>
          <w:sz w:val="24"/>
          <w:szCs w:val="24"/>
        </w:rPr>
        <w:t>080601</w:t>
      </w:r>
    </w:p>
    <w:p w14:paraId="324BC4EA">
      <w:pPr>
        <w:pStyle w:val="6"/>
        <w:spacing w:before="156" w:beforeLines="50" w:line="400" w:lineRule="exact"/>
        <w:ind w:left="482"/>
        <w:rPr>
          <w:rFonts w:hint="eastAsia" w:hAnsi="宋体" w:cs="Times New Roman"/>
          <w:b/>
          <w:sz w:val="24"/>
          <w:szCs w:val="24"/>
        </w:rPr>
      </w:pPr>
      <w:r>
        <w:rPr>
          <w:rFonts w:hAnsi="宋体" w:cs="Times New Roman"/>
          <w:b/>
          <w:sz w:val="24"/>
          <w:szCs w:val="24"/>
        </w:rPr>
        <w:t>（三）学制：</w:t>
      </w:r>
      <w:r>
        <w:rPr>
          <w:rFonts w:hint="eastAsia" w:hAnsi="宋体" w:cs="Times New Roman"/>
          <w:b/>
          <w:sz w:val="24"/>
          <w:szCs w:val="24"/>
        </w:rPr>
        <w:t>二年</w:t>
      </w:r>
    </w:p>
    <w:p w14:paraId="46655E99">
      <w:pPr>
        <w:spacing w:before="312" w:beforeLines="100"/>
        <w:ind w:left="420" w:leftChars="200"/>
        <w:rPr>
          <w:rFonts w:hint="eastAsia" w:ascii="宋体" w:hAnsi="宋体"/>
          <w:b/>
          <w:bCs/>
          <w:sz w:val="28"/>
          <w:szCs w:val="28"/>
        </w:rPr>
      </w:pPr>
      <w:r>
        <w:rPr>
          <w:rFonts w:ascii="宋体" w:hAnsi="宋体"/>
          <w:b/>
          <w:bCs/>
          <w:sz w:val="28"/>
          <w:szCs w:val="28"/>
        </w:rPr>
        <w:t>二、培养目标和毕业要求</w:t>
      </w:r>
    </w:p>
    <w:p w14:paraId="00F34D14">
      <w:pPr>
        <w:ind w:firstLine="482" w:firstLineChars="200"/>
        <w:rPr>
          <w:rFonts w:ascii="宋体" w:hAnsi="宋体"/>
          <w:b/>
          <w:bCs/>
          <w:sz w:val="24"/>
        </w:rPr>
      </w:pPr>
      <w:r>
        <w:rPr>
          <w:rFonts w:ascii="宋体" w:hAnsi="宋体"/>
          <w:b/>
          <w:bCs/>
          <w:sz w:val="24"/>
        </w:rPr>
        <w:t>（一）培养目标</w:t>
      </w:r>
    </w:p>
    <w:p w14:paraId="76D20371">
      <w:pPr>
        <w:widowControl/>
        <w:adjustRightInd w:val="0"/>
        <w:snapToGrid w:val="0"/>
        <w:spacing w:line="400" w:lineRule="exact"/>
        <w:ind w:firstLine="420" w:firstLineChars="200"/>
        <w:rPr>
          <w:rFonts w:ascii="宋体" w:hAnsi="宋体"/>
          <w:szCs w:val="21"/>
        </w:rPr>
      </w:pPr>
      <w:r>
        <w:rPr>
          <w:rFonts w:hint="eastAsia" w:ascii="宋体" w:hAnsi="宋体"/>
          <w:szCs w:val="21"/>
        </w:rPr>
        <w:t>本专业以德树人，培养德、智、体、美全面发展的合格的社会主义接班人。培养面向粤港澳大湾区经济建设和社会发展所需要的混合型工程应用型人才。他们应具有扎实数学、自然科学等基础知识及电气工程及其自动化领域的专业知识，具备较强的创新实践能力，自主可持续学习能力，良好的团队协作沟通能力等，能够胜任电气工程相关软硬件产品应用及系统设计与集成的高素质复合应用型高级工程技术人才。</w:t>
      </w:r>
    </w:p>
    <w:p w14:paraId="274A0A17">
      <w:pPr>
        <w:widowControl/>
        <w:adjustRightInd w:val="0"/>
        <w:snapToGrid w:val="0"/>
        <w:spacing w:line="400" w:lineRule="exact"/>
        <w:ind w:firstLine="420" w:firstLineChars="200"/>
        <w:rPr>
          <w:rFonts w:ascii="宋体" w:hAnsi="宋体"/>
          <w:szCs w:val="21"/>
        </w:rPr>
      </w:pPr>
      <w:r>
        <w:rPr>
          <w:rFonts w:hint="eastAsia" w:ascii="宋体" w:hAnsi="宋体"/>
          <w:szCs w:val="21"/>
        </w:rPr>
        <w:t>本专业学生在毕业后 5 年内，应达到如下目标：</w:t>
      </w:r>
    </w:p>
    <w:p w14:paraId="5C18D2A1">
      <w:pPr>
        <w:widowControl/>
        <w:adjustRightInd w:val="0"/>
        <w:snapToGrid w:val="0"/>
        <w:spacing w:line="400" w:lineRule="exact"/>
        <w:ind w:firstLine="420" w:firstLineChars="200"/>
        <w:rPr>
          <w:rFonts w:ascii="宋体" w:hAnsi="宋体"/>
          <w:szCs w:val="21"/>
        </w:rPr>
      </w:pPr>
      <w:r>
        <w:rPr>
          <w:rFonts w:hint="eastAsia" w:ascii="宋体" w:hAnsi="宋体"/>
          <w:szCs w:val="21"/>
        </w:rPr>
        <w:t>（1）道德修养：具有社会主义合格接班人的自觉性。具备良好的人文科学素养，拥有推动社会进步的强烈责任感；</w:t>
      </w:r>
    </w:p>
    <w:p w14:paraId="5DE60766">
      <w:pPr>
        <w:widowControl/>
        <w:adjustRightInd w:val="0"/>
        <w:snapToGrid w:val="0"/>
        <w:spacing w:line="400" w:lineRule="exact"/>
        <w:ind w:firstLine="420" w:firstLineChars="200"/>
        <w:rPr>
          <w:rFonts w:ascii="宋体" w:hAnsi="宋体"/>
          <w:szCs w:val="21"/>
        </w:rPr>
      </w:pPr>
      <w:r>
        <w:rPr>
          <w:rFonts w:hint="eastAsia" w:ascii="宋体" w:hAnsi="宋体"/>
          <w:szCs w:val="21"/>
        </w:rPr>
        <w:t>（2）工程能力：掌握扎实的工程知识及技术，具备创新性地从事电气工程相关软硬件产品应用与开发、系统集成与设计等工作的工程实践能力；</w:t>
      </w:r>
    </w:p>
    <w:p w14:paraId="0CB50BE8">
      <w:pPr>
        <w:widowControl/>
        <w:adjustRightInd w:val="0"/>
        <w:snapToGrid w:val="0"/>
        <w:spacing w:line="400" w:lineRule="exact"/>
        <w:ind w:firstLine="420" w:firstLineChars="200"/>
        <w:rPr>
          <w:rFonts w:ascii="宋体" w:hAnsi="宋体"/>
          <w:szCs w:val="21"/>
        </w:rPr>
      </w:pPr>
      <w:r>
        <w:rPr>
          <w:rFonts w:hint="eastAsia" w:ascii="宋体" w:hAnsi="宋体"/>
          <w:szCs w:val="21"/>
        </w:rPr>
        <w:t>（3）工程伦理：在具体工程实践中能够自觉综合考虑健康、安全、法律法规、经济、社会、文化及环境等因素，具有良好的工程职业道德；</w:t>
      </w:r>
    </w:p>
    <w:p w14:paraId="3233D969">
      <w:pPr>
        <w:widowControl/>
        <w:adjustRightInd w:val="0"/>
        <w:snapToGrid w:val="0"/>
        <w:spacing w:line="400" w:lineRule="exact"/>
        <w:ind w:firstLine="420" w:firstLineChars="200"/>
        <w:rPr>
          <w:rFonts w:ascii="宋体" w:hAnsi="宋体"/>
          <w:szCs w:val="21"/>
        </w:rPr>
      </w:pPr>
      <w:r>
        <w:rPr>
          <w:rFonts w:hint="eastAsia" w:ascii="宋体" w:hAnsi="宋体"/>
          <w:szCs w:val="21"/>
        </w:rPr>
        <w:t>（4）团队合作：具有良好的团队合作精神、交流沟通能力、组织协调能力，能够在实际工作中适应不同的工作定位；</w:t>
      </w:r>
    </w:p>
    <w:p w14:paraId="61A3BFA1">
      <w:pPr>
        <w:widowControl/>
        <w:adjustRightInd w:val="0"/>
        <w:snapToGrid w:val="0"/>
        <w:spacing w:line="400" w:lineRule="exact"/>
        <w:ind w:firstLine="420" w:firstLineChars="200"/>
        <w:rPr>
          <w:rFonts w:ascii="宋体" w:hAnsi="宋体"/>
          <w:szCs w:val="21"/>
        </w:rPr>
      </w:pPr>
      <w:r>
        <w:rPr>
          <w:rFonts w:hint="eastAsia" w:ascii="宋体" w:hAnsi="宋体"/>
          <w:szCs w:val="21"/>
        </w:rPr>
        <w:t>（5）终身学习：能够自觉主动适应社会环境、行业和技术的发展变化，拥有自主学习能力和终身学习习惯。</w:t>
      </w:r>
    </w:p>
    <w:p w14:paraId="39877393">
      <w:pPr>
        <w:widowControl/>
        <w:adjustRightInd w:val="0"/>
        <w:snapToGrid w:val="0"/>
        <w:spacing w:line="400" w:lineRule="exact"/>
        <w:ind w:firstLine="420" w:firstLineChars="200"/>
        <w:rPr>
          <w:rFonts w:hint="eastAsia" w:ascii="宋体" w:hAnsi="宋体"/>
          <w:szCs w:val="21"/>
        </w:rPr>
      </w:pPr>
    </w:p>
    <w:p w14:paraId="5C3FC9B6">
      <w:pPr>
        <w:pStyle w:val="6"/>
        <w:numPr>
          <w:ilvl w:val="0"/>
          <w:numId w:val="1"/>
        </w:numPr>
        <w:spacing w:before="156" w:beforeLines="50" w:line="400" w:lineRule="exact"/>
        <w:ind w:firstLine="482" w:firstLineChars="200"/>
        <w:rPr>
          <w:rFonts w:hint="eastAsia" w:hAnsi="宋体" w:cs="Times New Roman"/>
          <w:b/>
          <w:sz w:val="24"/>
          <w:szCs w:val="24"/>
        </w:rPr>
      </w:pPr>
      <w:r>
        <w:rPr>
          <w:rFonts w:hAnsi="宋体" w:cs="Times New Roman"/>
          <w:b/>
          <w:sz w:val="24"/>
          <w:szCs w:val="24"/>
        </w:rPr>
        <w:t>毕业要求</w:t>
      </w:r>
    </w:p>
    <w:p w14:paraId="618CEB7C">
      <w:pPr>
        <w:widowControl/>
        <w:numPr>
          <w:ilvl w:val="0"/>
          <w:numId w:val="2"/>
        </w:numPr>
        <w:adjustRightInd w:val="0"/>
        <w:snapToGrid w:val="0"/>
        <w:spacing w:line="400" w:lineRule="exact"/>
        <w:rPr>
          <w:rFonts w:hint="eastAsia" w:ascii="宋体" w:hAnsi="宋体"/>
          <w:szCs w:val="21"/>
        </w:rPr>
      </w:pPr>
      <w:r>
        <w:rPr>
          <w:rFonts w:hint="eastAsia" w:ascii="宋体" w:hAnsi="宋体"/>
          <w:szCs w:val="21"/>
        </w:rPr>
        <w:t>工程知识：具备扎实的数学、自然科学、电气工程领域基础知识和专业知识，能够将所学各类知识用于解决复杂电气工程问题。</w:t>
      </w:r>
    </w:p>
    <w:p w14:paraId="3BD8946B">
      <w:pPr>
        <w:widowControl/>
        <w:numPr>
          <w:ilvl w:val="0"/>
          <w:numId w:val="2"/>
        </w:numPr>
        <w:adjustRightInd w:val="0"/>
        <w:snapToGrid w:val="0"/>
        <w:spacing w:line="400" w:lineRule="exact"/>
        <w:rPr>
          <w:rFonts w:ascii="宋体" w:hAnsi="宋体"/>
          <w:szCs w:val="21"/>
        </w:rPr>
      </w:pPr>
      <w:r>
        <w:rPr>
          <w:rFonts w:hint="eastAsia" w:ascii="宋体" w:hAnsi="宋体"/>
          <w:szCs w:val="21"/>
        </w:rPr>
        <w:t>问题分析：能够应用数学、自然科学和工程科学的基本原理，识别、表达、并通过文献研究分析复杂电气工程问题，以获得有效结论。</w:t>
      </w:r>
    </w:p>
    <w:p w14:paraId="73881DE5">
      <w:pPr>
        <w:widowControl/>
        <w:numPr>
          <w:ilvl w:val="0"/>
          <w:numId w:val="2"/>
        </w:numPr>
        <w:adjustRightInd w:val="0"/>
        <w:snapToGrid w:val="0"/>
        <w:spacing w:line="400" w:lineRule="exact"/>
        <w:rPr>
          <w:rFonts w:ascii="宋体" w:hAnsi="宋体"/>
          <w:szCs w:val="21"/>
        </w:rPr>
      </w:pPr>
      <w:r>
        <w:rPr>
          <w:rFonts w:hint="eastAsia" w:ascii="宋体" w:hAnsi="宋体"/>
          <w:szCs w:val="21"/>
        </w:rPr>
        <w:t>设计/开发解决方案：能够设计针对复杂电气工程问题的解决方案，设计满足特定需求的系统、单元（部件）或工艺流程，并能够在设计环节中体现创新意识，考虑社会、健康、安全、法律、文化以及环境等因素。</w:t>
      </w:r>
    </w:p>
    <w:p w14:paraId="04BABC2B">
      <w:pPr>
        <w:widowControl/>
        <w:numPr>
          <w:ilvl w:val="0"/>
          <w:numId w:val="2"/>
        </w:numPr>
        <w:adjustRightInd w:val="0"/>
        <w:snapToGrid w:val="0"/>
        <w:spacing w:line="400" w:lineRule="exact"/>
        <w:rPr>
          <w:rFonts w:ascii="宋体" w:hAnsi="宋体"/>
          <w:szCs w:val="21"/>
        </w:rPr>
      </w:pPr>
      <w:r>
        <w:rPr>
          <w:rFonts w:ascii="宋体" w:hAnsi="宋体"/>
          <w:szCs w:val="21"/>
        </w:rPr>
        <w:t>研究</w:t>
      </w:r>
      <w:r>
        <w:rPr>
          <w:rFonts w:hint="eastAsia" w:ascii="宋体" w:hAnsi="宋体"/>
          <w:szCs w:val="21"/>
        </w:rPr>
        <w:t>：能够基于科学原理并采用科学方法对复杂电气工程问题进行研究，包括设计实验、分析与解释数据、并通过信息综合得到合理有效的结论。</w:t>
      </w:r>
    </w:p>
    <w:p w14:paraId="588A476C">
      <w:pPr>
        <w:widowControl/>
        <w:numPr>
          <w:ilvl w:val="0"/>
          <w:numId w:val="2"/>
        </w:numPr>
        <w:adjustRightInd w:val="0"/>
        <w:snapToGrid w:val="0"/>
        <w:spacing w:line="400" w:lineRule="exact"/>
        <w:rPr>
          <w:rFonts w:ascii="宋体" w:hAnsi="宋体"/>
          <w:szCs w:val="21"/>
        </w:rPr>
      </w:pPr>
      <w:r>
        <w:rPr>
          <w:rFonts w:ascii="宋体" w:hAnsi="宋体"/>
          <w:szCs w:val="21"/>
        </w:rPr>
        <w:t>使用现代工具</w:t>
      </w:r>
      <w:r>
        <w:rPr>
          <w:rFonts w:hint="eastAsia" w:ascii="宋体" w:hAnsi="宋体"/>
          <w:szCs w:val="21"/>
        </w:rPr>
        <w:t>：能够针对复杂电气工程问题，开发、选择与使用恰当的技术、资源、现代工程工具和信息技术工具，包括对复杂电气工程问题的预测与模拟，并能够理解其局限性。</w:t>
      </w:r>
    </w:p>
    <w:p w14:paraId="3463AFF6">
      <w:pPr>
        <w:widowControl/>
        <w:numPr>
          <w:ilvl w:val="0"/>
          <w:numId w:val="2"/>
        </w:numPr>
        <w:adjustRightInd w:val="0"/>
        <w:snapToGrid w:val="0"/>
        <w:spacing w:line="400" w:lineRule="exact"/>
        <w:rPr>
          <w:rFonts w:ascii="宋体" w:hAnsi="宋体"/>
          <w:szCs w:val="21"/>
        </w:rPr>
      </w:pPr>
      <w:r>
        <w:rPr>
          <w:rFonts w:ascii="宋体" w:hAnsi="宋体"/>
          <w:szCs w:val="21"/>
        </w:rPr>
        <w:t>工程与社会</w:t>
      </w:r>
      <w:r>
        <w:rPr>
          <w:rFonts w:hint="eastAsia" w:ascii="宋体" w:hAnsi="宋体"/>
          <w:szCs w:val="21"/>
        </w:rPr>
        <w:t>：能够基于电气工程相关背景知识进行合理分析，评价专业工程实践和复杂电气工程问题解决方案对社会、健康、安全、法律以及文化的影响，并理解应承担的责任。</w:t>
      </w:r>
    </w:p>
    <w:p w14:paraId="274F605F">
      <w:pPr>
        <w:widowControl/>
        <w:numPr>
          <w:ilvl w:val="0"/>
          <w:numId w:val="2"/>
        </w:numPr>
        <w:adjustRightInd w:val="0"/>
        <w:snapToGrid w:val="0"/>
        <w:spacing w:line="400" w:lineRule="exact"/>
        <w:rPr>
          <w:rFonts w:ascii="宋体" w:hAnsi="宋体"/>
          <w:szCs w:val="21"/>
        </w:rPr>
      </w:pPr>
      <w:r>
        <w:rPr>
          <w:rFonts w:ascii="宋体" w:hAnsi="宋体"/>
          <w:szCs w:val="21"/>
        </w:rPr>
        <w:t>环境和可持续发展</w:t>
      </w:r>
      <w:r>
        <w:rPr>
          <w:rFonts w:hint="eastAsia" w:ascii="宋体" w:hAnsi="宋体"/>
          <w:szCs w:val="21"/>
        </w:rPr>
        <w:t>：能够理解和评价针对复杂电气工程问题的工程实践对环境、社会可持续发展的影响。</w:t>
      </w:r>
    </w:p>
    <w:p w14:paraId="7BCA8AD6">
      <w:pPr>
        <w:widowControl/>
        <w:numPr>
          <w:ilvl w:val="0"/>
          <w:numId w:val="2"/>
        </w:numPr>
        <w:adjustRightInd w:val="0"/>
        <w:snapToGrid w:val="0"/>
        <w:spacing w:line="400" w:lineRule="exact"/>
        <w:rPr>
          <w:rFonts w:ascii="宋体" w:hAnsi="宋体"/>
          <w:szCs w:val="21"/>
        </w:rPr>
      </w:pPr>
      <w:r>
        <w:rPr>
          <w:rFonts w:ascii="宋体" w:hAnsi="宋体"/>
          <w:szCs w:val="21"/>
        </w:rPr>
        <w:t>职业规范</w:t>
      </w:r>
      <w:r>
        <w:rPr>
          <w:rFonts w:hint="eastAsia" w:ascii="宋体" w:hAnsi="宋体"/>
          <w:szCs w:val="21"/>
        </w:rPr>
        <w:t>：具有人文社会科学素养、社会责任感，能够在电气工程实践中理解并遵守工程职业道德和规范，履行责任。</w:t>
      </w:r>
    </w:p>
    <w:p w14:paraId="23E2FCD8">
      <w:pPr>
        <w:widowControl/>
        <w:numPr>
          <w:ilvl w:val="0"/>
          <w:numId w:val="2"/>
        </w:numPr>
        <w:adjustRightInd w:val="0"/>
        <w:snapToGrid w:val="0"/>
        <w:spacing w:line="400" w:lineRule="exact"/>
        <w:rPr>
          <w:rFonts w:ascii="宋体" w:hAnsi="宋体"/>
          <w:szCs w:val="21"/>
        </w:rPr>
      </w:pPr>
      <w:r>
        <w:rPr>
          <w:rFonts w:ascii="宋体" w:hAnsi="宋体"/>
          <w:szCs w:val="21"/>
        </w:rPr>
        <w:t>个人和团队</w:t>
      </w:r>
      <w:r>
        <w:rPr>
          <w:rFonts w:hint="eastAsia" w:ascii="宋体" w:hAnsi="宋体"/>
          <w:szCs w:val="21"/>
        </w:rPr>
        <w:t>：能够在多学科背景下的团队中承担个体、团队成员以及负责人的角色。</w:t>
      </w:r>
    </w:p>
    <w:p w14:paraId="04DC3624">
      <w:pPr>
        <w:widowControl/>
        <w:numPr>
          <w:ilvl w:val="0"/>
          <w:numId w:val="2"/>
        </w:numPr>
        <w:adjustRightInd w:val="0"/>
        <w:snapToGrid w:val="0"/>
        <w:spacing w:line="400" w:lineRule="exact"/>
        <w:rPr>
          <w:rFonts w:ascii="宋体" w:hAnsi="宋体"/>
          <w:szCs w:val="21"/>
        </w:rPr>
      </w:pPr>
      <w:r>
        <w:rPr>
          <w:rFonts w:ascii="宋体" w:hAnsi="宋体"/>
          <w:szCs w:val="21"/>
        </w:rPr>
        <w:t>沟通</w:t>
      </w:r>
      <w:r>
        <w:rPr>
          <w:rFonts w:hint="eastAsia" w:ascii="宋体" w:hAnsi="宋体"/>
          <w:szCs w:val="21"/>
        </w:rPr>
        <w:t>：能够就复杂电气工程问题与业界同行及社会公众进行有效沟通和交流，包括撰写报告和设计文稿、陈述发言、清晰表达或回应指令。并具备一定的国际视野，能够在跨文化背景下进行沟通和交流。</w:t>
      </w:r>
    </w:p>
    <w:p w14:paraId="6523C769">
      <w:pPr>
        <w:widowControl/>
        <w:numPr>
          <w:ilvl w:val="0"/>
          <w:numId w:val="2"/>
        </w:numPr>
        <w:adjustRightInd w:val="0"/>
        <w:snapToGrid w:val="0"/>
        <w:spacing w:line="400" w:lineRule="exact"/>
        <w:rPr>
          <w:rFonts w:ascii="宋体" w:hAnsi="宋体"/>
          <w:szCs w:val="21"/>
        </w:rPr>
      </w:pPr>
      <w:r>
        <w:rPr>
          <w:rFonts w:ascii="宋体" w:hAnsi="宋体"/>
          <w:szCs w:val="21"/>
        </w:rPr>
        <w:t>项目管理</w:t>
      </w:r>
      <w:r>
        <w:rPr>
          <w:rFonts w:hint="eastAsia" w:ascii="宋体" w:hAnsi="宋体"/>
          <w:szCs w:val="21"/>
        </w:rPr>
        <w:t>：理解并掌握经济决策方法与工程管理原理，并能在多学科工程环境中应用。</w:t>
      </w:r>
    </w:p>
    <w:p w14:paraId="621D327F">
      <w:pPr>
        <w:widowControl/>
        <w:numPr>
          <w:ilvl w:val="0"/>
          <w:numId w:val="2"/>
        </w:numPr>
        <w:adjustRightInd w:val="0"/>
        <w:snapToGrid w:val="0"/>
        <w:spacing w:line="400" w:lineRule="exact"/>
        <w:rPr>
          <w:rFonts w:hint="eastAsia" w:ascii="宋体" w:hAnsi="宋体"/>
          <w:b/>
          <w:sz w:val="24"/>
        </w:rPr>
      </w:pPr>
      <w:r>
        <w:rPr>
          <w:rFonts w:ascii="宋体" w:hAnsi="宋体"/>
          <w:szCs w:val="21"/>
        </w:rPr>
        <w:t>终身学习</w:t>
      </w:r>
      <w:r>
        <w:rPr>
          <w:rFonts w:hint="eastAsia" w:ascii="宋体" w:hAnsi="宋体"/>
          <w:szCs w:val="21"/>
        </w:rPr>
        <w:t>：具有自主学习和终身学习的意识，有不断学习和适应发展的能力。</w:t>
      </w:r>
    </w:p>
    <w:p w14:paraId="38A9E88A">
      <w:pPr>
        <w:numPr>
          <w:ilvl w:val="0"/>
          <w:numId w:val="0"/>
        </w:numPr>
        <w:spacing w:before="312" w:beforeLines="100"/>
        <w:ind w:left="0" w:leftChars="0" w:firstLine="422" w:firstLineChars="150"/>
        <w:rPr>
          <w:b/>
          <w:bCs/>
          <w:sz w:val="28"/>
          <w:szCs w:val="28"/>
        </w:rPr>
      </w:pPr>
      <w:r>
        <w:rPr>
          <w:rFonts w:hint="eastAsia"/>
          <w:b/>
          <w:bCs/>
          <w:sz w:val="28"/>
          <w:szCs w:val="28"/>
          <w:lang w:val="en-US" w:eastAsia="zh-CN"/>
        </w:rPr>
        <w:t>三、</w:t>
      </w:r>
      <w:r>
        <w:rPr>
          <w:b/>
          <w:bCs/>
          <w:sz w:val="28"/>
          <w:szCs w:val="28"/>
        </w:rPr>
        <w:t>专业核心课程</w:t>
      </w:r>
    </w:p>
    <w:p w14:paraId="0211BB6E">
      <w:pPr>
        <w:widowControl/>
        <w:adjustRightInd w:val="0"/>
        <w:snapToGrid w:val="0"/>
        <w:spacing w:line="400" w:lineRule="exact"/>
        <w:ind w:firstLine="420" w:firstLineChars="200"/>
        <w:rPr>
          <w:rFonts w:hint="eastAsia" w:ascii="宋体" w:hAnsi="宋体"/>
          <w:szCs w:val="21"/>
          <w:highlight w:val="none"/>
        </w:rPr>
      </w:pPr>
      <w:r>
        <w:rPr>
          <w:rFonts w:hint="eastAsia" w:ascii="宋体" w:hAnsi="宋体"/>
          <w:szCs w:val="21"/>
        </w:rPr>
        <w:t>模拟电子技术、电路</w:t>
      </w:r>
      <w:r>
        <w:rPr>
          <w:rFonts w:hint="eastAsia" w:ascii="宋体" w:hAnsi="宋体"/>
          <w:szCs w:val="21"/>
          <w:highlight w:val="none"/>
        </w:rPr>
        <w:t>与模拟电子技术实践、电力电子技术、电机学与拖动基础、数字电路与逻辑设计、自动控制原理、数字电路与逻辑设计实验、</w:t>
      </w:r>
      <w:r>
        <w:rPr>
          <w:rFonts w:hint="eastAsia" w:ascii="宋体" w:hAnsi="宋体"/>
          <w:szCs w:val="21"/>
          <w:highlight w:val="none"/>
          <w:lang w:val="en-US" w:eastAsia="zh-CN"/>
        </w:rPr>
        <w:t>、</w:t>
      </w:r>
      <w:r>
        <w:rPr>
          <w:rFonts w:hint="eastAsia" w:ascii="宋体" w:hAnsi="宋体"/>
          <w:szCs w:val="21"/>
          <w:highlight w:val="none"/>
        </w:rPr>
        <w:t>电机</w:t>
      </w:r>
      <w:r>
        <w:rPr>
          <w:rFonts w:hint="eastAsia" w:ascii="宋体" w:hAnsi="宋体"/>
          <w:szCs w:val="21"/>
          <w:highlight w:val="none"/>
          <w:lang w:val="en-US" w:eastAsia="zh-CN"/>
        </w:rPr>
        <w:t>实验、</w:t>
      </w:r>
      <w:r>
        <w:rPr>
          <w:rFonts w:hint="eastAsia" w:ascii="宋体" w:hAnsi="宋体"/>
          <w:szCs w:val="21"/>
          <w:highlight w:val="none"/>
        </w:rPr>
        <w:t>电力电子实验、单片机原理及应用、电气测量技术、嵌入式系统与应用、供电技术、电力系统</w:t>
      </w:r>
      <w:r>
        <w:rPr>
          <w:rFonts w:hint="eastAsia" w:ascii="宋体" w:hAnsi="宋体"/>
          <w:szCs w:val="21"/>
          <w:highlight w:val="none"/>
          <w:lang w:val="en-US" w:eastAsia="zh-CN"/>
        </w:rPr>
        <w:t>继电保护</w:t>
      </w:r>
      <w:r>
        <w:rPr>
          <w:rFonts w:hint="eastAsia" w:ascii="宋体" w:hAnsi="宋体"/>
          <w:szCs w:val="21"/>
          <w:highlight w:val="none"/>
        </w:rPr>
        <w:t>、电气与控制系统设计实训等。</w:t>
      </w:r>
    </w:p>
    <w:p w14:paraId="69C4CB77">
      <w:pPr>
        <w:widowControl/>
        <w:adjustRightInd w:val="0"/>
        <w:snapToGrid w:val="0"/>
        <w:spacing w:line="400" w:lineRule="exact"/>
        <w:ind w:firstLine="420" w:firstLineChars="200"/>
        <w:rPr>
          <w:rFonts w:hint="eastAsia" w:ascii="宋体" w:hAnsi="宋体"/>
          <w:szCs w:val="21"/>
        </w:rPr>
      </w:pPr>
    </w:p>
    <w:p w14:paraId="3139D89B">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150"/>
        <w:textAlignment w:val="auto"/>
        <w:rPr>
          <w:rFonts w:hint="eastAsia" w:hAnsi="仿宋_GB2312"/>
          <w:b/>
          <w:bCs w:val="0"/>
          <w:sz w:val="28"/>
          <w:szCs w:val="28"/>
        </w:rPr>
      </w:pPr>
      <w:r>
        <w:rPr>
          <w:rFonts w:hint="eastAsia" w:hAnsi="仿宋_GB2312"/>
          <w:b/>
          <w:bCs w:val="0"/>
          <w:sz w:val="28"/>
          <w:szCs w:val="28"/>
          <w:lang w:val="en-US" w:eastAsia="zh-CN"/>
        </w:rPr>
        <w:t>四、</w:t>
      </w:r>
      <w:r>
        <w:rPr>
          <w:rFonts w:hint="eastAsia" w:hAnsi="仿宋_GB2312"/>
          <w:b/>
          <w:bCs w:val="0"/>
          <w:sz w:val="28"/>
          <w:szCs w:val="28"/>
        </w:rPr>
        <w:t>毕业条件和学位授予</w:t>
      </w:r>
    </w:p>
    <w:p w14:paraId="05DA9B5E">
      <w:pPr>
        <w:pStyle w:val="6"/>
        <w:numPr>
          <w:ilvl w:val="0"/>
          <w:numId w:val="3"/>
        </w:numPr>
        <w:spacing w:before="156" w:beforeLines="50" w:line="400" w:lineRule="exact"/>
        <w:ind w:firstLine="482" w:firstLineChars="200"/>
        <w:rPr>
          <w:rFonts w:hint="eastAsia" w:hAnsi="宋体" w:cs="Times New Roman"/>
          <w:b/>
          <w:sz w:val="24"/>
          <w:szCs w:val="24"/>
        </w:rPr>
      </w:pPr>
      <w:r>
        <w:rPr>
          <w:rFonts w:hAnsi="宋体" w:cs="Times New Roman"/>
          <w:b/>
          <w:sz w:val="24"/>
          <w:szCs w:val="24"/>
        </w:rPr>
        <w:t>毕业条件</w:t>
      </w:r>
    </w:p>
    <w:p w14:paraId="1C7A98F5">
      <w:pPr>
        <w:spacing w:line="400" w:lineRule="exact"/>
        <w:jc w:val="center"/>
        <w:rPr>
          <w:rFonts w:hint="eastAsia" w:hAnsi="宋体" w:cs="Times New Roman"/>
          <w:b/>
          <w:sz w:val="24"/>
          <w:szCs w:val="24"/>
        </w:rPr>
      </w:pPr>
      <w:r>
        <w:rPr>
          <w:b/>
          <w:color w:val="auto"/>
          <w:sz w:val="24"/>
        </w:rPr>
        <w:t>毕业学分结构表</w:t>
      </w:r>
    </w:p>
    <w:tbl>
      <w:tblPr>
        <w:tblStyle w:val="14"/>
        <w:tblW w:w="4999" w:type="pct"/>
        <w:tblInd w:w="0" w:type="dxa"/>
        <w:tblLayout w:type="autofit"/>
        <w:tblCellMar>
          <w:top w:w="0" w:type="dxa"/>
          <w:left w:w="108" w:type="dxa"/>
          <w:bottom w:w="0" w:type="dxa"/>
          <w:right w:w="108" w:type="dxa"/>
        </w:tblCellMar>
      </w:tblPr>
      <w:tblGrid>
        <w:gridCol w:w="1735"/>
        <w:gridCol w:w="1747"/>
        <w:gridCol w:w="1633"/>
        <w:gridCol w:w="1722"/>
        <w:gridCol w:w="1683"/>
      </w:tblGrid>
      <w:tr w14:paraId="0BD985E8">
        <w:tblPrEx>
          <w:tblCellMar>
            <w:top w:w="0" w:type="dxa"/>
            <w:left w:w="108" w:type="dxa"/>
            <w:bottom w:w="0" w:type="dxa"/>
            <w:right w:w="108" w:type="dxa"/>
          </w:tblCellMar>
        </w:tblPrEx>
        <w:trPr>
          <w:trHeight w:val="570" w:hRule="atLeast"/>
        </w:trPr>
        <w:tc>
          <w:tcPr>
            <w:tcW w:w="1018" w:type="pct"/>
            <w:vMerge w:val="restart"/>
            <w:tcBorders>
              <w:top w:val="single" w:color="000000" w:sz="8" w:space="0"/>
              <w:left w:val="single" w:color="000000" w:sz="8" w:space="0"/>
              <w:bottom w:val="single" w:color="000000" w:sz="8" w:space="0"/>
              <w:right w:val="single" w:color="000000" w:sz="8" w:space="0"/>
            </w:tcBorders>
            <w:noWrap w:val="0"/>
            <w:vAlign w:val="center"/>
          </w:tcPr>
          <w:p w14:paraId="3B6D9226">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毕业总学分</w:t>
            </w:r>
          </w:p>
        </w:tc>
        <w:tc>
          <w:tcPr>
            <w:tcW w:w="1983" w:type="pct"/>
            <w:gridSpan w:val="2"/>
            <w:tcBorders>
              <w:top w:val="single" w:color="000000" w:sz="8" w:space="0"/>
              <w:left w:val="nil"/>
              <w:bottom w:val="single" w:color="000000" w:sz="8" w:space="0"/>
              <w:right w:val="single" w:color="000000" w:sz="8" w:space="0"/>
            </w:tcBorders>
            <w:noWrap w:val="0"/>
            <w:vAlign w:val="center"/>
          </w:tcPr>
          <w:p w14:paraId="557AF9F2">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公共教育</w:t>
            </w:r>
          </w:p>
        </w:tc>
        <w:tc>
          <w:tcPr>
            <w:tcW w:w="1997" w:type="pct"/>
            <w:gridSpan w:val="2"/>
            <w:tcBorders>
              <w:top w:val="single" w:color="auto" w:sz="4" w:space="0"/>
              <w:left w:val="nil"/>
              <w:bottom w:val="single" w:color="000000" w:sz="8" w:space="0"/>
              <w:right w:val="single" w:color="000000" w:sz="8" w:space="0"/>
            </w:tcBorders>
            <w:noWrap w:val="0"/>
            <w:vAlign w:val="center"/>
          </w:tcPr>
          <w:p w14:paraId="4A7661E1">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专业教育</w:t>
            </w:r>
          </w:p>
        </w:tc>
      </w:tr>
      <w:tr w14:paraId="0E51EC93">
        <w:tblPrEx>
          <w:tblCellMar>
            <w:top w:w="0" w:type="dxa"/>
            <w:left w:w="108" w:type="dxa"/>
            <w:bottom w:w="0" w:type="dxa"/>
            <w:right w:w="108" w:type="dxa"/>
          </w:tblCellMar>
        </w:tblPrEx>
        <w:trPr>
          <w:trHeight w:val="887" w:hRule="atLeast"/>
        </w:trPr>
        <w:tc>
          <w:tcPr>
            <w:tcW w:w="1018" w:type="pct"/>
            <w:vMerge w:val="continue"/>
            <w:tcBorders>
              <w:top w:val="single" w:color="000000" w:sz="8" w:space="0"/>
              <w:left w:val="single" w:color="000000" w:sz="8" w:space="0"/>
              <w:bottom w:val="single" w:color="000000" w:sz="8" w:space="0"/>
              <w:right w:val="single" w:color="000000" w:sz="8" w:space="0"/>
            </w:tcBorders>
            <w:noWrap w:val="0"/>
            <w:vAlign w:val="center"/>
          </w:tcPr>
          <w:p w14:paraId="2D80204B">
            <w:pPr>
              <w:jc w:val="center"/>
              <w:rPr>
                <w:rFonts w:hint="eastAsia" w:ascii="宋体" w:hAnsi="宋体" w:eastAsia="宋体" w:cs="宋体"/>
                <w:b/>
                <w:bCs/>
                <w:color w:val="auto"/>
                <w:sz w:val="22"/>
                <w:szCs w:val="22"/>
              </w:rPr>
            </w:pPr>
          </w:p>
        </w:tc>
        <w:tc>
          <w:tcPr>
            <w:tcW w:w="1025" w:type="pct"/>
            <w:tcBorders>
              <w:top w:val="nil"/>
              <w:left w:val="nil"/>
              <w:bottom w:val="single" w:color="auto" w:sz="4" w:space="0"/>
              <w:right w:val="single" w:color="000000" w:sz="8" w:space="0"/>
            </w:tcBorders>
            <w:noWrap w:val="0"/>
            <w:vAlign w:val="center"/>
          </w:tcPr>
          <w:p w14:paraId="3E03BBE5">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思政必修课</w:t>
            </w:r>
          </w:p>
        </w:tc>
        <w:tc>
          <w:tcPr>
            <w:tcW w:w="958" w:type="pct"/>
            <w:tcBorders>
              <w:top w:val="nil"/>
              <w:left w:val="nil"/>
              <w:bottom w:val="single" w:color="auto" w:sz="4" w:space="0"/>
              <w:right w:val="single" w:color="000000" w:sz="8" w:space="0"/>
            </w:tcBorders>
            <w:noWrap w:val="0"/>
            <w:vAlign w:val="center"/>
          </w:tcPr>
          <w:p w14:paraId="12223445">
            <w:pPr>
              <w:widowControl/>
              <w:jc w:val="center"/>
              <w:textAlignment w:val="center"/>
              <w:rPr>
                <w:rFonts w:hint="eastAsia" w:ascii="宋体" w:hAnsi="宋体" w:eastAsia="宋体" w:cs="宋体"/>
                <w:b/>
                <w:bCs/>
                <w:color w:val="auto"/>
                <w:kern w:val="0"/>
                <w:sz w:val="22"/>
                <w:szCs w:val="22"/>
                <w:lang w:val="en-US" w:eastAsia="zh-CN" w:bidi="ar"/>
              </w:rPr>
            </w:pPr>
            <w:r>
              <w:rPr>
                <w:rFonts w:hint="eastAsia" w:ascii="宋体" w:hAnsi="宋体" w:eastAsia="宋体" w:cs="宋体"/>
                <w:b/>
                <w:bCs/>
                <w:color w:val="auto"/>
                <w:kern w:val="0"/>
                <w:sz w:val="22"/>
                <w:szCs w:val="22"/>
                <w:lang w:val="en-US" w:eastAsia="zh-CN" w:bidi="ar"/>
              </w:rPr>
              <w:t>通识必修课</w:t>
            </w:r>
          </w:p>
        </w:tc>
        <w:tc>
          <w:tcPr>
            <w:tcW w:w="1010" w:type="pct"/>
            <w:tcBorders>
              <w:top w:val="nil"/>
              <w:left w:val="nil"/>
              <w:bottom w:val="single" w:color="000000" w:sz="8" w:space="0"/>
              <w:right w:val="single" w:color="000000" w:sz="8" w:space="0"/>
            </w:tcBorders>
            <w:noWrap w:val="0"/>
            <w:vAlign w:val="center"/>
          </w:tcPr>
          <w:p w14:paraId="3EA8BE91">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专业必修课</w:t>
            </w:r>
          </w:p>
        </w:tc>
        <w:tc>
          <w:tcPr>
            <w:tcW w:w="986" w:type="pct"/>
            <w:tcBorders>
              <w:top w:val="single" w:color="000000" w:sz="8" w:space="0"/>
              <w:left w:val="nil"/>
              <w:bottom w:val="single" w:color="000000" w:sz="8" w:space="0"/>
              <w:right w:val="single" w:color="000000" w:sz="8" w:space="0"/>
            </w:tcBorders>
            <w:noWrap w:val="0"/>
            <w:vAlign w:val="center"/>
          </w:tcPr>
          <w:p w14:paraId="4FA83E58">
            <w:pPr>
              <w:widowControl/>
              <w:jc w:val="center"/>
              <w:textAlignment w:val="center"/>
              <w:rPr>
                <w:rFonts w:hint="eastAsia" w:ascii="宋体" w:hAnsi="宋体" w:eastAsia="宋体" w:cs="宋体"/>
                <w:b/>
                <w:bCs/>
                <w:color w:val="auto"/>
                <w:sz w:val="22"/>
                <w:szCs w:val="22"/>
              </w:rPr>
            </w:pPr>
            <w:r>
              <w:rPr>
                <w:rFonts w:hint="eastAsia" w:ascii="宋体" w:hAnsi="宋体" w:eastAsia="宋体" w:cs="宋体"/>
                <w:b/>
                <w:bCs/>
                <w:color w:val="auto"/>
                <w:kern w:val="0"/>
                <w:sz w:val="22"/>
                <w:szCs w:val="22"/>
                <w:lang w:bidi="ar"/>
              </w:rPr>
              <w:t>专业选修课</w:t>
            </w:r>
          </w:p>
        </w:tc>
      </w:tr>
      <w:tr w14:paraId="74CE42B6">
        <w:tblPrEx>
          <w:tblCellMar>
            <w:top w:w="0" w:type="dxa"/>
            <w:left w:w="108" w:type="dxa"/>
            <w:bottom w:w="0" w:type="dxa"/>
            <w:right w:w="108" w:type="dxa"/>
          </w:tblCellMar>
        </w:tblPrEx>
        <w:trPr>
          <w:trHeight w:val="300" w:hRule="atLeast"/>
        </w:trPr>
        <w:tc>
          <w:tcPr>
            <w:tcW w:w="1018" w:type="pct"/>
            <w:tcBorders>
              <w:top w:val="single" w:color="000000" w:sz="8" w:space="0"/>
              <w:left w:val="single" w:color="000000" w:sz="8" w:space="0"/>
              <w:bottom w:val="single" w:color="000000" w:sz="8" w:space="0"/>
              <w:right w:val="single" w:color="000000" w:sz="8" w:space="0"/>
            </w:tcBorders>
            <w:noWrap w:val="0"/>
            <w:vAlign w:val="center"/>
          </w:tcPr>
          <w:p w14:paraId="26A99224">
            <w:pPr>
              <w:widowControl/>
              <w:jc w:val="center"/>
              <w:textAlignment w:val="center"/>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rPr>
              <w:t>8</w:t>
            </w:r>
            <w:r>
              <w:rPr>
                <w:rFonts w:hint="eastAsia" w:ascii="宋体" w:hAnsi="宋体" w:eastAsia="宋体" w:cs="宋体"/>
                <w:b/>
                <w:bCs/>
                <w:color w:val="auto"/>
                <w:sz w:val="22"/>
                <w:szCs w:val="22"/>
                <w:lang w:val="en-US" w:eastAsia="zh-CN"/>
              </w:rPr>
              <w:t>0</w:t>
            </w:r>
          </w:p>
        </w:tc>
        <w:tc>
          <w:tcPr>
            <w:tcW w:w="1025" w:type="pct"/>
            <w:tcBorders>
              <w:top w:val="single" w:color="auto" w:sz="4" w:space="0"/>
              <w:left w:val="nil"/>
              <w:bottom w:val="single" w:color="000000" w:sz="8" w:space="0"/>
              <w:right w:val="single" w:color="000000" w:sz="8" w:space="0"/>
            </w:tcBorders>
            <w:noWrap w:val="0"/>
            <w:vAlign w:val="center"/>
          </w:tcPr>
          <w:p w14:paraId="04E23741">
            <w:pPr>
              <w:widowControl/>
              <w:jc w:val="center"/>
              <w:textAlignment w:val="center"/>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3</w:t>
            </w:r>
          </w:p>
        </w:tc>
        <w:tc>
          <w:tcPr>
            <w:tcW w:w="958" w:type="pct"/>
            <w:tcBorders>
              <w:top w:val="single" w:color="auto" w:sz="4" w:space="0"/>
              <w:left w:val="nil"/>
              <w:bottom w:val="single" w:color="000000" w:sz="8" w:space="0"/>
              <w:right w:val="single" w:color="000000" w:sz="8" w:space="0"/>
            </w:tcBorders>
            <w:noWrap w:val="0"/>
            <w:vAlign w:val="center"/>
          </w:tcPr>
          <w:p w14:paraId="4A96507E">
            <w:pPr>
              <w:widowControl/>
              <w:jc w:val="center"/>
              <w:textAlignment w:val="center"/>
              <w:rPr>
                <w:rFonts w:hint="default"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2</w:t>
            </w:r>
          </w:p>
        </w:tc>
        <w:tc>
          <w:tcPr>
            <w:tcW w:w="1010" w:type="pct"/>
            <w:tcBorders>
              <w:top w:val="nil"/>
              <w:left w:val="nil"/>
              <w:bottom w:val="single" w:color="000000" w:sz="8" w:space="0"/>
              <w:right w:val="single" w:color="000000" w:sz="8" w:space="0"/>
            </w:tcBorders>
            <w:noWrap w:val="0"/>
            <w:vAlign w:val="center"/>
          </w:tcPr>
          <w:p w14:paraId="62534DF6">
            <w:pPr>
              <w:widowControl/>
              <w:jc w:val="center"/>
              <w:textAlignment w:val="center"/>
              <w:rPr>
                <w:rFonts w:hint="default" w:ascii="宋体" w:hAnsi="宋体" w:eastAsia="宋体" w:cs="宋体"/>
                <w:b/>
                <w:bCs/>
                <w:color w:val="auto"/>
                <w:sz w:val="22"/>
                <w:szCs w:val="22"/>
                <w:highlight w:val="yellow"/>
                <w:lang w:val="en-US" w:eastAsia="zh-CN"/>
              </w:rPr>
            </w:pPr>
            <w:r>
              <w:rPr>
                <w:rFonts w:hint="eastAsia" w:ascii="宋体" w:hAnsi="宋体" w:eastAsia="宋体" w:cs="宋体"/>
                <w:b/>
                <w:bCs/>
                <w:color w:val="auto"/>
                <w:sz w:val="22"/>
                <w:szCs w:val="22"/>
                <w:highlight w:val="yellow"/>
                <w:lang w:val="en-US" w:eastAsia="zh-CN"/>
              </w:rPr>
              <w:t>52</w:t>
            </w:r>
          </w:p>
        </w:tc>
        <w:tc>
          <w:tcPr>
            <w:tcW w:w="986" w:type="pct"/>
            <w:tcBorders>
              <w:top w:val="nil"/>
              <w:left w:val="nil"/>
              <w:bottom w:val="single" w:color="000000" w:sz="8" w:space="0"/>
              <w:right w:val="single" w:color="000000" w:sz="8" w:space="0"/>
            </w:tcBorders>
            <w:noWrap w:val="0"/>
            <w:vAlign w:val="center"/>
          </w:tcPr>
          <w:p w14:paraId="1854745A">
            <w:pPr>
              <w:jc w:val="center"/>
              <w:rPr>
                <w:rFonts w:hint="default" w:ascii="宋体" w:hAnsi="宋体" w:eastAsia="宋体" w:cs="宋体"/>
                <w:color w:val="auto"/>
                <w:sz w:val="22"/>
                <w:szCs w:val="22"/>
                <w:highlight w:val="yellow"/>
                <w:lang w:val="en-US" w:eastAsia="zh-CN"/>
              </w:rPr>
            </w:pPr>
            <w:r>
              <w:rPr>
                <w:rFonts w:hint="eastAsia" w:ascii="宋体" w:hAnsi="宋体" w:eastAsia="宋体" w:cs="宋体"/>
                <w:b/>
                <w:bCs/>
                <w:color w:val="auto"/>
                <w:sz w:val="22"/>
                <w:szCs w:val="22"/>
                <w:highlight w:val="yellow"/>
                <w:lang w:val="en-US" w:eastAsia="zh-CN"/>
              </w:rPr>
              <w:t>23</w:t>
            </w:r>
          </w:p>
        </w:tc>
      </w:tr>
    </w:tbl>
    <w:p w14:paraId="4D244B26">
      <w:pPr>
        <w:pStyle w:val="6"/>
        <w:spacing w:before="156" w:beforeLines="50" w:line="400" w:lineRule="exact"/>
        <w:rPr>
          <w:rFonts w:hint="eastAsia" w:ascii="宋体" w:hAnsi="宋体" w:eastAsia="宋体" w:cs="宋体"/>
          <w:b/>
          <w:bCs/>
          <w:sz w:val="21"/>
          <w:szCs w:val="21"/>
        </w:rPr>
      </w:pPr>
      <w:r>
        <w:rPr>
          <w:rFonts w:hint="eastAsia" w:ascii="宋体" w:hAnsi="宋体" w:eastAsia="宋体" w:cs="宋体"/>
          <w:b/>
          <w:bCs/>
          <w:sz w:val="21"/>
          <w:szCs w:val="21"/>
        </w:rPr>
        <w:t>备注：1.所有专升本专业的学生至少修满2学分的形势与政策课、1学分的“四史”课程。2.其中，"四史"课程即：中国共产党</w:t>
      </w:r>
      <w:r>
        <w:rPr>
          <w:rFonts w:hint="eastAsia" w:hAnsi="宋体" w:cs="宋体"/>
          <w:b/>
          <w:bCs/>
          <w:sz w:val="21"/>
          <w:szCs w:val="21"/>
          <w:lang w:val="en-US" w:eastAsia="zh-CN"/>
        </w:rPr>
        <w:t>历</w:t>
      </w:r>
      <w:r>
        <w:rPr>
          <w:rFonts w:hint="eastAsia" w:ascii="宋体" w:hAnsi="宋体" w:eastAsia="宋体" w:cs="宋体"/>
          <w:b/>
          <w:bCs/>
          <w:sz w:val="21"/>
          <w:szCs w:val="21"/>
        </w:rPr>
        <w:t>史、新中国史、改革开放史、社会主义发展</w:t>
      </w:r>
      <w:r>
        <w:rPr>
          <w:rFonts w:hint="eastAsia" w:hAnsi="宋体" w:cs="宋体"/>
          <w:b/>
          <w:bCs/>
          <w:sz w:val="21"/>
          <w:szCs w:val="21"/>
          <w:lang w:val="en-US" w:eastAsia="zh-CN"/>
        </w:rPr>
        <w:t>史</w:t>
      </w:r>
      <w:bookmarkStart w:id="1" w:name="_GoBack"/>
      <w:bookmarkEnd w:id="1"/>
      <w:r>
        <w:rPr>
          <w:rFonts w:hint="eastAsia" w:ascii="宋体" w:hAnsi="宋体" w:eastAsia="宋体" w:cs="宋体"/>
          <w:b/>
          <w:bCs/>
          <w:sz w:val="21"/>
          <w:szCs w:val="21"/>
        </w:rPr>
        <w:t>，每门课程分别是1学分，至少选修一门，修满1学分。3.通识必修课须修读2学分的创业基础（实践）。</w:t>
      </w:r>
    </w:p>
    <w:p w14:paraId="173EB38E">
      <w:pPr>
        <w:spacing w:line="400" w:lineRule="exact"/>
        <w:ind w:firstLine="420" w:firstLineChars="200"/>
        <w:rPr>
          <w:rFonts w:hint="eastAsia" w:ascii="宋体" w:hAnsi="宋体"/>
          <w:szCs w:val="21"/>
        </w:rPr>
      </w:pPr>
      <w:r>
        <w:rPr>
          <w:rFonts w:hint="eastAsia" w:ascii="宋体" w:hAnsi="宋体"/>
          <w:szCs w:val="21"/>
        </w:rPr>
        <w:t>学生申请以电气工程及其自动化专业毕业，须符合以下全部条件后，才准予毕业，并发给毕业证书：</w:t>
      </w:r>
    </w:p>
    <w:p w14:paraId="23107393">
      <w:pPr>
        <w:spacing w:line="400" w:lineRule="exact"/>
        <w:ind w:firstLine="420" w:firstLineChars="200"/>
        <w:rPr>
          <w:rFonts w:hint="eastAsia" w:ascii="宋体" w:hAnsi="宋体"/>
          <w:szCs w:val="21"/>
        </w:rPr>
      </w:pPr>
      <w:r>
        <w:rPr>
          <w:rFonts w:hint="eastAsia" w:ascii="宋体" w:hAnsi="宋体"/>
          <w:szCs w:val="21"/>
        </w:rPr>
        <w:t>1.在学院允许的学习年限内，即2~5年。</w:t>
      </w:r>
    </w:p>
    <w:p w14:paraId="2528A284">
      <w:pPr>
        <w:spacing w:line="400" w:lineRule="exact"/>
        <w:ind w:firstLine="420" w:firstLineChars="200"/>
        <w:rPr>
          <w:rFonts w:hint="default" w:ascii="宋体" w:hAnsi="宋体" w:eastAsia="宋体"/>
          <w:szCs w:val="21"/>
          <w:lang w:val="en-US" w:eastAsia="zh-CN"/>
        </w:rPr>
      </w:pPr>
      <w:r>
        <w:rPr>
          <w:rFonts w:hint="eastAsia" w:ascii="宋体" w:hAnsi="宋体"/>
          <w:szCs w:val="21"/>
        </w:rPr>
        <w:t>2.取得电气工程及其自动化专业规定的最低毕业总学分80学分，其中：公共课</w:t>
      </w:r>
      <w:r>
        <w:rPr>
          <w:rFonts w:hint="eastAsia" w:ascii="宋体" w:hAnsi="宋体"/>
          <w:color w:val="FF0000"/>
          <w:szCs w:val="21"/>
        </w:rPr>
        <w:t>共</w:t>
      </w:r>
      <w:r>
        <w:rPr>
          <w:rFonts w:hint="eastAsia" w:ascii="宋体" w:hAnsi="宋体"/>
          <w:color w:val="FF0000"/>
          <w:szCs w:val="21"/>
          <w:lang w:val="en-US" w:eastAsia="zh-CN"/>
        </w:rPr>
        <w:t>5</w:t>
      </w:r>
      <w:r>
        <w:rPr>
          <w:rFonts w:hint="eastAsia" w:ascii="宋体" w:hAnsi="宋体"/>
          <w:szCs w:val="21"/>
        </w:rPr>
        <w:t>学分；专业必修课</w:t>
      </w:r>
      <w:r>
        <w:rPr>
          <w:rFonts w:hint="eastAsia" w:ascii="宋体" w:hAnsi="宋体"/>
          <w:szCs w:val="21"/>
          <w:lang w:val="en-US" w:eastAsia="zh-CN"/>
        </w:rPr>
        <w:t>52</w:t>
      </w:r>
      <w:r>
        <w:rPr>
          <w:rFonts w:hint="eastAsia" w:ascii="宋体" w:hAnsi="宋体"/>
          <w:szCs w:val="21"/>
        </w:rPr>
        <w:t>学分；专业选修课</w:t>
      </w:r>
      <w:r>
        <w:rPr>
          <w:rFonts w:hint="eastAsia" w:ascii="宋体" w:hAnsi="宋体"/>
          <w:strike w:val="0"/>
          <w:dstrike w:val="0"/>
          <w:color w:val="FF0000"/>
          <w:szCs w:val="21"/>
          <w:lang w:val="en-US" w:eastAsia="zh-CN"/>
        </w:rPr>
        <w:t>23</w:t>
      </w:r>
      <w:r>
        <w:rPr>
          <w:rFonts w:hint="eastAsia" w:ascii="宋体" w:hAnsi="宋体"/>
          <w:szCs w:val="21"/>
        </w:rPr>
        <w:t>学分</w:t>
      </w:r>
      <w:r>
        <w:rPr>
          <w:rFonts w:hint="eastAsia" w:ascii="宋体" w:hAnsi="宋体"/>
          <w:szCs w:val="21"/>
          <w:lang w:eastAsia="zh-CN"/>
        </w:rPr>
        <w:t>；</w:t>
      </w:r>
      <w:r>
        <w:rPr>
          <w:rFonts w:hint="eastAsia" w:ascii="宋体" w:hAnsi="宋体" w:eastAsia="宋体" w:cs="宋体"/>
          <w:bCs w:val="0"/>
          <w:lang w:val="en-US" w:eastAsia="zh-CN"/>
        </w:rPr>
        <w:t>工作实习</w:t>
      </w:r>
      <w:r>
        <w:rPr>
          <w:rFonts w:hint="eastAsia" w:hAnsi="宋体" w:eastAsia="宋体" w:cs="宋体"/>
          <w:bCs w:val="0"/>
          <w:color w:val="FF0000"/>
          <w:lang w:val="en-US" w:eastAsia="zh-CN"/>
        </w:rPr>
        <w:t>3</w:t>
      </w:r>
      <w:r>
        <w:rPr>
          <w:rFonts w:hint="eastAsia" w:ascii="宋体" w:hAnsi="宋体" w:eastAsia="宋体" w:cs="宋体"/>
          <w:bCs w:val="0"/>
          <w:lang w:val="en-US" w:eastAsia="zh-CN"/>
        </w:rPr>
        <w:t>学分、</w:t>
      </w:r>
      <w:r>
        <w:rPr>
          <w:rFonts w:hint="eastAsia" w:ascii="宋体" w:hAnsi="宋体" w:eastAsia="宋体" w:cs="宋体"/>
          <w:bCs w:val="0"/>
        </w:rPr>
        <w:t>毕业设计</w:t>
      </w:r>
      <w:r>
        <w:rPr>
          <w:rFonts w:hint="eastAsia" w:ascii="宋体" w:hAnsi="宋体" w:eastAsia="宋体" w:cs="宋体"/>
          <w:bCs w:val="0"/>
          <w:lang w:val="en-US" w:eastAsia="zh-CN"/>
        </w:rPr>
        <w:t>8</w:t>
      </w:r>
      <w:r>
        <w:rPr>
          <w:rFonts w:hint="eastAsia" w:ascii="宋体" w:hAnsi="宋体" w:eastAsia="宋体" w:cs="宋体"/>
          <w:bCs w:val="0"/>
        </w:rPr>
        <w:t>学分</w:t>
      </w:r>
      <w:r>
        <w:rPr>
          <w:rFonts w:hint="eastAsia" w:ascii="宋体" w:hAnsi="宋体" w:eastAsia="宋体" w:cs="宋体"/>
          <w:bCs w:val="0"/>
          <w:color w:val="000000"/>
          <w:sz w:val="21"/>
          <w:szCs w:val="21"/>
          <w:lang w:val="en-US" w:eastAsia="zh-CN"/>
        </w:rPr>
        <w:t>。</w:t>
      </w:r>
    </w:p>
    <w:p w14:paraId="509858B8">
      <w:pPr>
        <w:spacing w:line="400" w:lineRule="exact"/>
        <w:ind w:firstLine="482" w:firstLineChars="200"/>
        <w:rPr>
          <w:rFonts w:hAnsi="宋体"/>
          <w:b/>
          <w:bCs/>
          <w:sz w:val="24"/>
          <w:szCs w:val="24"/>
        </w:rPr>
      </w:pPr>
      <w:r>
        <w:rPr>
          <w:rFonts w:hint="eastAsia" w:hAnsi="宋体"/>
          <w:b/>
          <w:bCs/>
          <w:sz w:val="24"/>
          <w:szCs w:val="24"/>
        </w:rPr>
        <w:t>（二）</w:t>
      </w:r>
      <w:r>
        <w:rPr>
          <w:rFonts w:hAnsi="宋体" w:cs="Times New Roman"/>
          <w:b/>
          <w:sz w:val="24"/>
          <w:szCs w:val="24"/>
        </w:rPr>
        <w:t>获得学位</w:t>
      </w:r>
    </w:p>
    <w:p w14:paraId="477AD39F">
      <w:pPr>
        <w:spacing w:line="400" w:lineRule="exact"/>
        <w:ind w:firstLine="420" w:firstLineChars="200"/>
        <w:rPr>
          <w:rFonts w:hint="eastAsia" w:ascii="宋体" w:hAnsi="宋体"/>
          <w:szCs w:val="21"/>
        </w:rPr>
      </w:pPr>
      <w:r>
        <w:rPr>
          <w:rFonts w:hint="eastAsia" w:ascii="宋体" w:hAnsi="宋体"/>
          <w:szCs w:val="21"/>
        </w:rPr>
        <w:t>普通全日制本科生在取得毕业资格的前提下，按现行的绩点制，其专业课、公共必修课的平均学分绩点达到2.0及以上者，可授予工学学士学位。</w:t>
      </w:r>
    </w:p>
    <w:p w14:paraId="5AC1CCCD">
      <w:pPr>
        <w:spacing w:before="312" w:beforeLines="100"/>
        <w:ind w:left="420" w:leftChars="200"/>
        <w:rPr>
          <w:b/>
          <w:bCs/>
          <w:color w:val="000000"/>
          <w:sz w:val="28"/>
          <w:szCs w:val="28"/>
        </w:rPr>
      </w:pPr>
      <w:r>
        <w:rPr>
          <w:rFonts w:hint="eastAsia"/>
          <w:b/>
          <w:bCs/>
          <w:color w:val="000000"/>
          <w:sz w:val="28"/>
          <w:szCs w:val="28"/>
        </w:rPr>
        <w:t>五</w:t>
      </w:r>
      <w:r>
        <w:rPr>
          <w:b/>
          <w:bCs/>
          <w:color w:val="000000"/>
          <w:sz w:val="28"/>
          <w:szCs w:val="28"/>
        </w:rPr>
        <w:t>、</w:t>
      </w:r>
      <w:r>
        <w:rPr>
          <w:rFonts w:hint="eastAsia"/>
          <w:b/>
          <w:bCs/>
          <w:color w:val="000000"/>
          <w:sz w:val="28"/>
          <w:szCs w:val="28"/>
        </w:rPr>
        <w:t>专升本</w:t>
      </w:r>
      <w:r>
        <w:rPr>
          <w:b/>
          <w:bCs/>
          <w:color w:val="000000"/>
          <w:sz w:val="28"/>
          <w:szCs w:val="28"/>
        </w:rPr>
        <w:t>公共教育课程计划进程表</w:t>
      </w:r>
    </w:p>
    <w:p w14:paraId="2AFC0B69">
      <w:pPr>
        <w:pStyle w:val="6"/>
        <w:spacing w:line="400" w:lineRule="exact"/>
        <w:ind w:firstLine="482" w:firstLineChars="200"/>
        <w:rPr>
          <w:rFonts w:ascii="Times New Roman" w:hAnsi="Times New Roman" w:eastAsia="仿宋" w:cs="Times New Roman"/>
          <w:b/>
          <w:color w:val="000000"/>
          <w:sz w:val="24"/>
          <w:szCs w:val="24"/>
        </w:rPr>
      </w:pPr>
      <w:r>
        <w:rPr>
          <w:rFonts w:ascii="Times New Roman" w:hAnsi="Times New Roman" w:eastAsia="仿宋" w:cs="Times New Roman"/>
          <w:b/>
          <w:color w:val="000000"/>
          <w:sz w:val="24"/>
          <w:szCs w:val="24"/>
        </w:rPr>
        <w:t>请详见附表一。</w:t>
      </w:r>
    </w:p>
    <w:p w14:paraId="0D471B3B">
      <w:pPr>
        <w:spacing w:before="312" w:beforeLines="100"/>
        <w:ind w:left="420" w:leftChars="200"/>
        <w:rPr>
          <w:b/>
          <w:bCs/>
          <w:color w:val="000000"/>
          <w:sz w:val="28"/>
          <w:szCs w:val="28"/>
        </w:rPr>
      </w:pPr>
      <w:r>
        <w:rPr>
          <w:rFonts w:hint="eastAsia"/>
          <w:b/>
          <w:bCs/>
          <w:color w:val="000000"/>
          <w:sz w:val="28"/>
          <w:szCs w:val="28"/>
        </w:rPr>
        <w:t>六</w:t>
      </w:r>
      <w:r>
        <w:rPr>
          <w:b/>
          <w:bCs/>
          <w:color w:val="000000"/>
          <w:sz w:val="28"/>
          <w:szCs w:val="28"/>
        </w:rPr>
        <w:t>、</w:t>
      </w:r>
      <w:r>
        <w:rPr>
          <w:rFonts w:hint="eastAsia"/>
          <w:b/>
          <w:bCs/>
          <w:color w:val="000000"/>
          <w:sz w:val="28"/>
          <w:szCs w:val="28"/>
        </w:rPr>
        <w:t>专升本</w:t>
      </w:r>
      <w:r>
        <w:rPr>
          <w:b/>
          <w:bCs/>
          <w:color w:val="000000"/>
          <w:sz w:val="28"/>
          <w:szCs w:val="28"/>
        </w:rPr>
        <w:t>专业教育课程计划进程表</w:t>
      </w:r>
    </w:p>
    <w:p w14:paraId="0122367F">
      <w:pPr>
        <w:pStyle w:val="6"/>
        <w:spacing w:line="400" w:lineRule="exact"/>
        <w:ind w:firstLine="482" w:firstLineChars="200"/>
        <w:rPr>
          <w:rFonts w:ascii="Times New Roman" w:hAnsi="Times New Roman" w:eastAsia="仿宋" w:cs="Times New Roman"/>
          <w:b/>
          <w:color w:val="000000"/>
          <w:sz w:val="24"/>
          <w:szCs w:val="24"/>
        </w:rPr>
      </w:pPr>
      <w:r>
        <w:rPr>
          <w:rFonts w:ascii="Times New Roman" w:hAnsi="Times New Roman" w:eastAsia="仿宋" w:cs="Times New Roman"/>
          <w:b/>
          <w:color w:val="000000"/>
          <w:sz w:val="24"/>
          <w:szCs w:val="24"/>
        </w:rPr>
        <w:t>请详见附表二。</w:t>
      </w:r>
    </w:p>
    <w:p w14:paraId="53FE83FC">
      <w:pPr>
        <w:pStyle w:val="6"/>
        <w:tabs>
          <w:tab w:val="left" w:pos="9000"/>
        </w:tabs>
        <w:spacing w:line="360" w:lineRule="auto"/>
        <w:rPr>
          <w:rFonts w:hint="eastAsia"/>
          <w:b/>
          <w:sz w:val="28"/>
          <w:szCs w:val="28"/>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76D25">
    <w:pPr>
      <w:pStyle w:val="8"/>
      <w:jc w:val="center"/>
    </w:pPr>
    <w:r>
      <w:fldChar w:fldCharType="begin"/>
    </w:r>
    <w:r>
      <w:instrText xml:space="preserve">PAGE   \* MERGEFORMAT</w:instrText>
    </w:r>
    <w:r>
      <w:fldChar w:fldCharType="separate"/>
    </w:r>
    <w:r>
      <w:rPr>
        <w:lang w:val="zh-CN"/>
      </w:rPr>
      <w:t>3</w:t>
    </w:r>
    <w:r>
      <w:fldChar w:fldCharType="end"/>
    </w:r>
  </w:p>
  <w:p w14:paraId="2E774B81">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1358F9"/>
    <w:multiLevelType w:val="multilevel"/>
    <w:tmpl w:val="401358F9"/>
    <w:lvl w:ilvl="0" w:tentative="0">
      <w:start w:val="1"/>
      <w:numFmt w:val="decimal"/>
      <w:suff w:val="space"/>
      <w:lvlText w:val="%1."/>
      <w:lvlJc w:val="left"/>
      <w:pPr>
        <w:ind w:left="0" w:firstLine="480"/>
      </w:pPr>
      <w:rPr>
        <w:rFonts w:hint="default"/>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62B4614"/>
    <w:multiLevelType w:val="singleLevel"/>
    <w:tmpl w:val="562B4614"/>
    <w:lvl w:ilvl="0" w:tentative="0">
      <w:start w:val="2"/>
      <w:numFmt w:val="chineseCounting"/>
      <w:suff w:val="nothing"/>
      <w:lvlText w:val="（%1）"/>
      <w:lvlJc w:val="left"/>
    </w:lvl>
  </w:abstractNum>
  <w:abstractNum w:abstractNumId="2">
    <w:nsid w:val="5D6466C3"/>
    <w:multiLevelType w:val="singleLevel"/>
    <w:tmpl w:val="5D6466C3"/>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19"/>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jZjg0NDdkMGNlNGJiYTJkYjI2YTc0OGQwNzVmZDYifQ=="/>
    <w:docVar w:name="KSO_WPS_MARK_KEY" w:val="7f9fbe85-836f-423c-8332-ee31d03425ed"/>
  </w:docVars>
  <w:rsids>
    <w:rsidRoot w:val="00273275"/>
    <w:rsid w:val="00001E6E"/>
    <w:rsid w:val="00006474"/>
    <w:rsid w:val="00024BE6"/>
    <w:rsid w:val="000264F5"/>
    <w:rsid w:val="0004768D"/>
    <w:rsid w:val="0004777B"/>
    <w:rsid w:val="0005065D"/>
    <w:rsid w:val="0005625F"/>
    <w:rsid w:val="000634A7"/>
    <w:rsid w:val="000659BC"/>
    <w:rsid w:val="000666FF"/>
    <w:rsid w:val="00080FBA"/>
    <w:rsid w:val="000A64A8"/>
    <w:rsid w:val="000C1244"/>
    <w:rsid w:val="000C36FC"/>
    <w:rsid w:val="000C56B1"/>
    <w:rsid w:val="000D2685"/>
    <w:rsid w:val="000D35F7"/>
    <w:rsid w:val="000D6528"/>
    <w:rsid w:val="000E02D8"/>
    <w:rsid w:val="000E523F"/>
    <w:rsid w:val="000F1C25"/>
    <w:rsid w:val="000F5F95"/>
    <w:rsid w:val="0011394B"/>
    <w:rsid w:val="00115E26"/>
    <w:rsid w:val="00122F3D"/>
    <w:rsid w:val="0012371E"/>
    <w:rsid w:val="00133223"/>
    <w:rsid w:val="0013345E"/>
    <w:rsid w:val="00134B38"/>
    <w:rsid w:val="00136A1B"/>
    <w:rsid w:val="00155F77"/>
    <w:rsid w:val="00157D78"/>
    <w:rsid w:val="00166296"/>
    <w:rsid w:val="001730FE"/>
    <w:rsid w:val="00184315"/>
    <w:rsid w:val="0018711A"/>
    <w:rsid w:val="00191D84"/>
    <w:rsid w:val="001922CB"/>
    <w:rsid w:val="00196F8E"/>
    <w:rsid w:val="001A60B5"/>
    <w:rsid w:val="001A69A9"/>
    <w:rsid w:val="001B0D9C"/>
    <w:rsid w:val="001B60CC"/>
    <w:rsid w:val="001B73B6"/>
    <w:rsid w:val="001C298C"/>
    <w:rsid w:val="001C4A97"/>
    <w:rsid w:val="001C7412"/>
    <w:rsid w:val="001D331B"/>
    <w:rsid w:val="001D3BFF"/>
    <w:rsid w:val="001D43E0"/>
    <w:rsid w:val="001D7367"/>
    <w:rsid w:val="001F136D"/>
    <w:rsid w:val="001F40ED"/>
    <w:rsid w:val="001F50D0"/>
    <w:rsid w:val="001F7CC2"/>
    <w:rsid w:val="00212331"/>
    <w:rsid w:val="002240E0"/>
    <w:rsid w:val="002268C1"/>
    <w:rsid w:val="00227A42"/>
    <w:rsid w:val="00233930"/>
    <w:rsid w:val="0023686B"/>
    <w:rsid w:val="00245C3D"/>
    <w:rsid w:val="0025063A"/>
    <w:rsid w:val="00261E8C"/>
    <w:rsid w:val="0027228F"/>
    <w:rsid w:val="00273275"/>
    <w:rsid w:val="002733EC"/>
    <w:rsid w:val="0027592D"/>
    <w:rsid w:val="002821E8"/>
    <w:rsid w:val="00284DFA"/>
    <w:rsid w:val="00296454"/>
    <w:rsid w:val="002B5E33"/>
    <w:rsid w:val="002C0904"/>
    <w:rsid w:val="002C476D"/>
    <w:rsid w:val="002C7963"/>
    <w:rsid w:val="002D36C1"/>
    <w:rsid w:val="002E2994"/>
    <w:rsid w:val="002F7AEC"/>
    <w:rsid w:val="00305E96"/>
    <w:rsid w:val="00306FA8"/>
    <w:rsid w:val="003078FB"/>
    <w:rsid w:val="00310068"/>
    <w:rsid w:val="00312A55"/>
    <w:rsid w:val="00313CE5"/>
    <w:rsid w:val="0032396C"/>
    <w:rsid w:val="00337558"/>
    <w:rsid w:val="0034654D"/>
    <w:rsid w:val="00347036"/>
    <w:rsid w:val="00371F11"/>
    <w:rsid w:val="003756EE"/>
    <w:rsid w:val="0037654C"/>
    <w:rsid w:val="0038688F"/>
    <w:rsid w:val="00393766"/>
    <w:rsid w:val="003A2316"/>
    <w:rsid w:val="003A64DA"/>
    <w:rsid w:val="003B60EC"/>
    <w:rsid w:val="003C72FE"/>
    <w:rsid w:val="003D094F"/>
    <w:rsid w:val="003D766D"/>
    <w:rsid w:val="003E0EA2"/>
    <w:rsid w:val="003E1622"/>
    <w:rsid w:val="003E7709"/>
    <w:rsid w:val="003F57AB"/>
    <w:rsid w:val="0040344A"/>
    <w:rsid w:val="00415C30"/>
    <w:rsid w:val="00423058"/>
    <w:rsid w:val="00432F32"/>
    <w:rsid w:val="004335E3"/>
    <w:rsid w:val="004405B2"/>
    <w:rsid w:val="00440895"/>
    <w:rsid w:val="0044651E"/>
    <w:rsid w:val="004548EE"/>
    <w:rsid w:val="00465E1E"/>
    <w:rsid w:val="00473370"/>
    <w:rsid w:val="00495619"/>
    <w:rsid w:val="004A140E"/>
    <w:rsid w:val="004A62A3"/>
    <w:rsid w:val="004B4F5C"/>
    <w:rsid w:val="004B67C0"/>
    <w:rsid w:val="004B7BFC"/>
    <w:rsid w:val="004C7762"/>
    <w:rsid w:val="004F0EB3"/>
    <w:rsid w:val="005001DD"/>
    <w:rsid w:val="00502524"/>
    <w:rsid w:val="00506605"/>
    <w:rsid w:val="00512619"/>
    <w:rsid w:val="00516553"/>
    <w:rsid w:val="0052195B"/>
    <w:rsid w:val="00530EB7"/>
    <w:rsid w:val="0054068B"/>
    <w:rsid w:val="00541C55"/>
    <w:rsid w:val="005431BA"/>
    <w:rsid w:val="00546481"/>
    <w:rsid w:val="005504AB"/>
    <w:rsid w:val="00550969"/>
    <w:rsid w:val="00572BAD"/>
    <w:rsid w:val="005741EA"/>
    <w:rsid w:val="00586B4E"/>
    <w:rsid w:val="005878A2"/>
    <w:rsid w:val="00591A41"/>
    <w:rsid w:val="005A0C25"/>
    <w:rsid w:val="005A4BA2"/>
    <w:rsid w:val="005A7E2B"/>
    <w:rsid w:val="005C1C36"/>
    <w:rsid w:val="005D28C9"/>
    <w:rsid w:val="005D2CDB"/>
    <w:rsid w:val="005D3090"/>
    <w:rsid w:val="005E7940"/>
    <w:rsid w:val="005E7F9D"/>
    <w:rsid w:val="00603659"/>
    <w:rsid w:val="006056A9"/>
    <w:rsid w:val="006100E7"/>
    <w:rsid w:val="00617FE7"/>
    <w:rsid w:val="006303C4"/>
    <w:rsid w:val="00635DA6"/>
    <w:rsid w:val="00645427"/>
    <w:rsid w:val="00663B42"/>
    <w:rsid w:val="00664A6A"/>
    <w:rsid w:val="0066542E"/>
    <w:rsid w:val="00675038"/>
    <w:rsid w:val="006774D2"/>
    <w:rsid w:val="0069057F"/>
    <w:rsid w:val="00691241"/>
    <w:rsid w:val="006976F5"/>
    <w:rsid w:val="006B797A"/>
    <w:rsid w:val="006D5E54"/>
    <w:rsid w:val="006E0911"/>
    <w:rsid w:val="006E0BCB"/>
    <w:rsid w:val="006E33C4"/>
    <w:rsid w:val="006E5C71"/>
    <w:rsid w:val="006E5D4A"/>
    <w:rsid w:val="006F0424"/>
    <w:rsid w:val="006F14EE"/>
    <w:rsid w:val="0070578D"/>
    <w:rsid w:val="00713E5D"/>
    <w:rsid w:val="00717455"/>
    <w:rsid w:val="0072273A"/>
    <w:rsid w:val="007255EB"/>
    <w:rsid w:val="007273FC"/>
    <w:rsid w:val="00756684"/>
    <w:rsid w:val="00777948"/>
    <w:rsid w:val="007838AB"/>
    <w:rsid w:val="00787D88"/>
    <w:rsid w:val="00796D1C"/>
    <w:rsid w:val="007973C4"/>
    <w:rsid w:val="007A1968"/>
    <w:rsid w:val="007B0F60"/>
    <w:rsid w:val="007C03CA"/>
    <w:rsid w:val="007C6811"/>
    <w:rsid w:val="007E5C35"/>
    <w:rsid w:val="007E6BB4"/>
    <w:rsid w:val="0080024B"/>
    <w:rsid w:val="008077B1"/>
    <w:rsid w:val="00813D75"/>
    <w:rsid w:val="00814541"/>
    <w:rsid w:val="008247A8"/>
    <w:rsid w:val="0084031D"/>
    <w:rsid w:val="00840AA4"/>
    <w:rsid w:val="00851D71"/>
    <w:rsid w:val="008542D2"/>
    <w:rsid w:val="008560D8"/>
    <w:rsid w:val="00872545"/>
    <w:rsid w:val="00874640"/>
    <w:rsid w:val="00875D05"/>
    <w:rsid w:val="0088043B"/>
    <w:rsid w:val="00881BD9"/>
    <w:rsid w:val="00887092"/>
    <w:rsid w:val="00890E35"/>
    <w:rsid w:val="008A2CD7"/>
    <w:rsid w:val="008B0757"/>
    <w:rsid w:val="008B0F66"/>
    <w:rsid w:val="008B4390"/>
    <w:rsid w:val="008B6A0A"/>
    <w:rsid w:val="008C2650"/>
    <w:rsid w:val="008C5082"/>
    <w:rsid w:val="008D4FFC"/>
    <w:rsid w:val="008E3FEF"/>
    <w:rsid w:val="0092118E"/>
    <w:rsid w:val="0092331E"/>
    <w:rsid w:val="009335E4"/>
    <w:rsid w:val="009439E8"/>
    <w:rsid w:val="00947887"/>
    <w:rsid w:val="009609B8"/>
    <w:rsid w:val="009664F6"/>
    <w:rsid w:val="009674D8"/>
    <w:rsid w:val="00972FEE"/>
    <w:rsid w:val="00980E32"/>
    <w:rsid w:val="00981C57"/>
    <w:rsid w:val="009824FB"/>
    <w:rsid w:val="00986F63"/>
    <w:rsid w:val="0098785B"/>
    <w:rsid w:val="00992B1D"/>
    <w:rsid w:val="00992E35"/>
    <w:rsid w:val="009943BC"/>
    <w:rsid w:val="00996741"/>
    <w:rsid w:val="0099776C"/>
    <w:rsid w:val="009A0401"/>
    <w:rsid w:val="009A79D8"/>
    <w:rsid w:val="009B3903"/>
    <w:rsid w:val="009C2027"/>
    <w:rsid w:val="009D3DDA"/>
    <w:rsid w:val="009E2BC5"/>
    <w:rsid w:val="009E3242"/>
    <w:rsid w:val="009F01BB"/>
    <w:rsid w:val="009F3B31"/>
    <w:rsid w:val="009F3B35"/>
    <w:rsid w:val="00A10444"/>
    <w:rsid w:val="00A144E1"/>
    <w:rsid w:val="00A22D84"/>
    <w:rsid w:val="00A35594"/>
    <w:rsid w:val="00A43261"/>
    <w:rsid w:val="00A44368"/>
    <w:rsid w:val="00A45C24"/>
    <w:rsid w:val="00A56239"/>
    <w:rsid w:val="00A6389B"/>
    <w:rsid w:val="00A657E9"/>
    <w:rsid w:val="00A65FC9"/>
    <w:rsid w:val="00A67C2A"/>
    <w:rsid w:val="00A71430"/>
    <w:rsid w:val="00A80B8D"/>
    <w:rsid w:val="00A83625"/>
    <w:rsid w:val="00A84276"/>
    <w:rsid w:val="00A936A2"/>
    <w:rsid w:val="00A95BF2"/>
    <w:rsid w:val="00A9630E"/>
    <w:rsid w:val="00AA2103"/>
    <w:rsid w:val="00AA54F1"/>
    <w:rsid w:val="00AA796E"/>
    <w:rsid w:val="00AB65F2"/>
    <w:rsid w:val="00AB7385"/>
    <w:rsid w:val="00AB7BEA"/>
    <w:rsid w:val="00AC7C65"/>
    <w:rsid w:val="00AD15D1"/>
    <w:rsid w:val="00AD3610"/>
    <w:rsid w:val="00AE181C"/>
    <w:rsid w:val="00AE1905"/>
    <w:rsid w:val="00AE6684"/>
    <w:rsid w:val="00AF25E4"/>
    <w:rsid w:val="00B10516"/>
    <w:rsid w:val="00B203FA"/>
    <w:rsid w:val="00B26BD6"/>
    <w:rsid w:val="00B26C60"/>
    <w:rsid w:val="00B53547"/>
    <w:rsid w:val="00B62C70"/>
    <w:rsid w:val="00B75053"/>
    <w:rsid w:val="00B83FB2"/>
    <w:rsid w:val="00B91801"/>
    <w:rsid w:val="00B93070"/>
    <w:rsid w:val="00BA1981"/>
    <w:rsid w:val="00BB2627"/>
    <w:rsid w:val="00BC1D54"/>
    <w:rsid w:val="00BE2D32"/>
    <w:rsid w:val="00BF227B"/>
    <w:rsid w:val="00BF241A"/>
    <w:rsid w:val="00BF27B5"/>
    <w:rsid w:val="00BF2F9F"/>
    <w:rsid w:val="00C0150B"/>
    <w:rsid w:val="00C37303"/>
    <w:rsid w:val="00C4652C"/>
    <w:rsid w:val="00C474BC"/>
    <w:rsid w:val="00C5137C"/>
    <w:rsid w:val="00C55F9B"/>
    <w:rsid w:val="00C56430"/>
    <w:rsid w:val="00C626B3"/>
    <w:rsid w:val="00C705B9"/>
    <w:rsid w:val="00C94220"/>
    <w:rsid w:val="00CA2DDD"/>
    <w:rsid w:val="00CB2AB9"/>
    <w:rsid w:val="00CB7318"/>
    <w:rsid w:val="00CC11F5"/>
    <w:rsid w:val="00CC33CE"/>
    <w:rsid w:val="00CC383E"/>
    <w:rsid w:val="00CD42E8"/>
    <w:rsid w:val="00CE7F25"/>
    <w:rsid w:val="00CF6511"/>
    <w:rsid w:val="00D00AF3"/>
    <w:rsid w:val="00D01A81"/>
    <w:rsid w:val="00D07BC9"/>
    <w:rsid w:val="00D07F1B"/>
    <w:rsid w:val="00D102F5"/>
    <w:rsid w:val="00D1072D"/>
    <w:rsid w:val="00D173CE"/>
    <w:rsid w:val="00D20B64"/>
    <w:rsid w:val="00D241C4"/>
    <w:rsid w:val="00D24544"/>
    <w:rsid w:val="00D26454"/>
    <w:rsid w:val="00D27802"/>
    <w:rsid w:val="00D3031C"/>
    <w:rsid w:val="00D3242F"/>
    <w:rsid w:val="00D338B2"/>
    <w:rsid w:val="00D60B69"/>
    <w:rsid w:val="00D65DBD"/>
    <w:rsid w:val="00D66478"/>
    <w:rsid w:val="00D70FD6"/>
    <w:rsid w:val="00D72AEE"/>
    <w:rsid w:val="00D7502A"/>
    <w:rsid w:val="00D828F0"/>
    <w:rsid w:val="00D83D30"/>
    <w:rsid w:val="00D870F9"/>
    <w:rsid w:val="00D94DEE"/>
    <w:rsid w:val="00DB01E6"/>
    <w:rsid w:val="00DC1C5D"/>
    <w:rsid w:val="00DC1F91"/>
    <w:rsid w:val="00DC598F"/>
    <w:rsid w:val="00DD0345"/>
    <w:rsid w:val="00DD3345"/>
    <w:rsid w:val="00DD6A40"/>
    <w:rsid w:val="00DE2374"/>
    <w:rsid w:val="00DF18EF"/>
    <w:rsid w:val="00DF1F1E"/>
    <w:rsid w:val="00DF2394"/>
    <w:rsid w:val="00DF297E"/>
    <w:rsid w:val="00DF465D"/>
    <w:rsid w:val="00DF571C"/>
    <w:rsid w:val="00E03A68"/>
    <w:rsid w:val="00E138D4"/>
    <w:rsid w:val="00E15FD4"/>
    <w:rsid w:val="00E270D3"/>
    <w:rsid w:val="00E33EF3"/>
    <w:rsid w:val="00E51053"/>
    <w:rsid w:val="00E563BF"/>
    <w:rsid w:val="00E65C90"/>
    <w:rsid w:val="00E724C1"/>
    <w:rsid w:val="00E73505"/>
    <w:rsid w:val="00E8281E"/>
    <w:rsid w:val="00E83FE6"/>
    <w:rsid w:val="00E87E28"/>
    <w:rsid w:val="00E91843"/>
    <w:rsid w:val="00E955BA"/>
    <w:rsid w:val="00EA7684"/>
    <w:rsid w:val="00EA7E68"/>
    <w:rsid w:val="00EB4649"/>
    <w:rsid w:val="00EB7916"/>
    <w:rsid w:val="00EE63B3"/>
    <w:rsid w:val="00EF24FF"/>
    <w:rsid w:val="00EF5259"/>
    <w:rsid w:val="00EF55E6"/>
    <w:rsid w:val="00EF5656"/>
    <w:rsid w:val="00F00F81"/>
    <w:rsid w:val="00F01FFA"/>
    <w:rsid w:val="00F2034C"/>
    <w:rsid w:val="00F27CB7"/>
    <w:rsid w:val="00F35923"/>
    <w:rsid w:val="00F44E77"/>
    <w:rsid w:val="00F45D63"/>
    <w:rsid w:val="00F46188"/>
    <w:rsid w:val="00F51B21"/>
    <w:rsid w:val="00F60F80"/>
    <w:rsid w:val="00F63D67"/>
    <w:rsid w:val="00F6748D"/>
    <w:rsid w:val="00F760BC"/>
    <w:rsid w:val="00F83081"/>
    <w:rsid w:val="00F8430F"/>
    <w:rsid w:val="00F91B08"/>
    <w:rsid w:val="00FA0DFC"/>
    <w:rsid w:val="00FB49C7"/>
    <w:rsid w:val="00FC4D6D"/>
    <w:rsid w:val="00FD4507"/>
    <w:rsid w:val="00FD7F2B"/>
    <w:rsid w:val="00FF06CC"/>
    <w:rsid w:val="00FF14E3"/>
    <w:rsid w:val="00FF76D2"/>
    <w:rsid w:val="02557EEC"/>
    <w:rsid w:val="02A41D8E"/>
    <w:rsid w:val="046C2287"/>
    <w:rsid w:val="04AD4479"/>
    <w:rsid w:val="04B8133F"/>
    <w:rsid w:val="04E3397C"/>
    <w:rsid w:val="04E80B82"/>
    <w:rsid w:val="05644B66"/>
    <w:rsid w:val="063561D7"/>
    <w:rsid w:val="06B340FE"/>
    <w:rsid w:val="06D76699"/>
    <w:rsid w:val="07850970"/>
    <w:rsid w:val="085C5302"/>
    <w:rsid w:val="08FF39FE"/>
    <w:rsid w:val="0978738B"/>
    <w:rsid w:val="0A3D22C8"/>
    <w:rsid w:val="0A64037A"/>
    <w:rsid w:val="0AA26C99"/>
    <w:rsid w:val="0B23799B"/>
    <w:rsid w:val="0BA103BE"/>
    <w:rsid w:val="0C531635"/>
    <w:rsid w:val="0C6C1B3F"/>
    <w:rsid w:val="0CC25F19"/>
    <w:rsid w:val="0D0C4CA7"/>
    <w:rsid w:val="0D380E70"/>
    <w:rsid w:val="0DF06C33"/>
    <w:rsid w:val="0E375DB1"/>
    <w:rsid w:val="0EA2194C"/>
    <w:rsid w:val="0F523C17"/>
    <w:rsid w:val="0F804ED7"/>
    <w:rsid w:val="0FD04C3B"/>
    <w:rsid w:val="10E00AEA"/>
    <w:rsid w:val="11014FDE"/>
    <w:rsid w:val="117D5A2A"/>
    <w:rsid w:val="12B20411"/>
    <w:rsid w:val="135E0441"/>
    <w:rsid w:val="13C06F2A"/>
    <w:rsid w:val="13C139BB"/>
    <w:rsid w:val="13C97CCA"/>
    <w:rsid w:val="15051E29"/>
    <w:rsid w:val="159D3698"/>
    <w:rsid w:val="15C86A72"/>
    <w:rsid w:val="15F713AA"/>
    <w:rsid w:val="165E15F6"/>
    <w:rsid w:val="166D65D9"/>
    <w:rsid w:val="182C3677"/>
    <w:rsid w:val="18BE42AD"/>
    <w:rsid w:val="18CF4398"/>
    <w:rsid w:val="19FC72C7"/>
    <w:rsid w:val="1A9A4135"/>
    <w:rsid w:val="1AD66E9B"/>
    <w:rsid w:val="1B61067A"/>
    <w:rsid w:val="1B9926B0"/>
    <w:rsid w:val="1BAD1328"/>
    <w:rsid w:val="1BBA668F"/>
    <w:rsid w:val="1BBE3B4B"/>
    <w:rsid w:val="1BC74F15"/>
    <w:rsid w:val="1C2C7137"/>
    <w:rsid w:val="1E2C1503"/>
    <w:rsid w:val="20492CFF"/>
    <w:rsid w:val="21575BC9"/>
    <w:rsid w:val="21F06778"/>
    <w:rsid w:val="22647739"/>
    <w:rsid w:val="228551ED"/>
    <w:rsid w:val="22A32C11"/>
    <w:rsid w:val="22E921A1"/>
    <w:rsid w:val="23072668"/>
    <w:rsid w:val="23593975"/>
    <w:rsid w:val="237F66F3"/>
    <w:rsid w:val="24670177"/>
    <w:rsid w:val="247E5FEF"/>
    <w:rsid w:val="25421C56"/>
    <w:rsid w:val="255A7A69"/>
    <w:rsid w:val="26B128C1"/>
    <w:rsid w:val="26C21BBE"/>
    <w:rsid w:val="26E85C6E"/>
    <w:rsid w:val="278C606D"/>
    <w:rsid w:val="27A15BF1"/>
    <w:rsid w:val="281F4D6B"/>
    <w:rsid w:val="282D4176"/>
    <w:rsid w:val="28B91AFD"/>
    <w:rsid w:val="291D44E0"/>
    <w:rsid w:val="29BB3542"/>
    <w:rsid w:val="29F519D8"/>
    <w:rsid w:val="2A815E65"/>
    <w:rsid w:val="2B6A43DA"/>
    <w:rsid w:val="2C4E3F93"/>
    <w:rsid w:val="2CD47701"/>
    <w:rsid w:val="2D520B96"/>
    <w:rsid w:val="2D680E6C"/>
    <w:rsid w:val="2E9D26DB"/>
    <w:rsid w:val="2F583618"/>
    <w:rsid w:val="2F85666A"/>
    <w:rsid w:val="2F9800AC"/>
    <w:rsid w:val="2FB62DB9"/>
    <w:rsid w:val="30112DC5"/>
    <w:rsid w:val="32907C03"/>
    <w:rsid w:val="335F1A50"/>
    <w:rsid w:val="33D12EAD"/>
    <w:rsid w:val="341B302C"/>
    <w:rsid w:val="349B1C67"/>
    <w:rsid w:val="354563CC"/>
    <w:rsid w:val="35774F85"/>
    <w:rsid w:val="372C3734"/>
    <w:rsid w:val="374D36B7"/>
    <w:rsid w:val="37632BF1"/>
    <w:rsid w:val="37D53F25"/>
    <w:rsid w:val="37DD772B"/>
    <w:rsid w:val="391E701E"/>
    <w:rsid w:val="39CE0A72"/>
    <w:rsid w:val="39F5270A"/>
    <w:rsid w:val="3A1E1252"/>
    <w:rsid w:val="3BB6283D"/>
    <w:rsid w:val="3BF97BF5"/>
    <w:rsid w:val="3C1F2146"/>
    <w:rsid w:val="3C3368A6"/>
    <w:rsid w:val="3C526C27"/>
    <w:rsid w:val="3D287F80"/>
    <w:rsid w:val="3D702412"/>
    <w:rsid w:val="3DB5324B"/>
    <w:rsid w:val="3DE27A77"/>
    <w:rsid w:val="3E4E4846"/>
    <w:rsid w:val="3ED25B3F"/>
    <w:rsid w:val="3EDB4A95"/>
    <w:rsid w:val="3F3C1FD2"/>
    <w:rsid w:val="40BF552E"/>
    <w:rsid w:val="40DE1285"/>
    <w:rsid w:val="4122425C"/>
    <w:rsid w:val="412609FF"/>
    <w:rsid w:val="41A17BE5"/>
    <w:rsid w:val="41A71794"/>
    <w:rsid w:val="428756D4"/>
    <w:rsid w:val="431C18FF"/>
    <w:rsid w:val="43225739"/>
    <w:rsid w:val="444430DC"/>
    <w:rsid w:val="44F13672"/>
    <w:rsid w:val="45317962"/>
    <w:rsid w:val="45D91397"/>
    <w:rsid w:val="45E6380F"/>
    <w:rsid w:val="473541FD"/>
    <w:rsid w:val="47F921EA"/>
    <w:rsid w:val="48A71A5F"/>
    <w:rsid w:val="48B3289B"/>
    <w:rsid w:val="4A502E81"/>
    <w:rsid w:val="4BD8090F"/>
    <w:rsid w:val="4CAC766A"/>
    <w:rsid w:val="4D6D208E"/>
    <w:rsid w:val="4E5E009F"/>
    <w:rsid w:val="4F5D286E"/>
    <w:rsid w:val="4FFA7146"/>
    <w:rsid w:val="502B40C0"/>
    <w:rsid w:val="50F428CF"/>
    <w:rsid w:val="51FF0D56"/>
    <w:rsid w:val="5210362A"/>
    <w:rsid w:val="52F90234"/>
    <w:rsid w:val="534270C6"/>
    <w:rsid w:val="535C1754"/>
    <w:rsid w:val="53B016EC"/>
    <w:rsid w:val="55184EFF"/>
    <w:rsid w:val="552D1A55"/>
    <w:rsid w:val="5537168D"/>
    <w:rsid w:val="557C5C10"/>
    <w:rsid w:val="56427963"/>
    <w:rsid w:val="56F454F3"/>
    <w:rsid w:val="570D2A77"/>
    <w:rsid w:val="570D73CF"/>
    <w:rsid w:val="57533E35"/>
    <w:rsid w:val="576E6686"/>
    <w:rsid w:val="578876A8"/>
    <w:rsid w:val="581642FA"/>
    <w:rsid w:val="583B0C7A"/>
    <w:rsid w:val="5842349A"/>
    <w:rsid w:val="58AC79BF"/>
    <w:rsid w:val="58D640D0"/>
    <w:rsid w:val="59C4289D"/>
    <w:rsid w:val="5A115DBA"/>
    <w:rsid w:val="5AB76C8C"/>
    <w:rsid w:val="5B8C3745"/>
    <w:rsid w:val="5B94705D"/>
    <w:rsid w:val="5BC870DE"/>
    <w:rsid w:val="5DA31A1E"/>
    <w:rsid w:val="5DAD4C8B"/>
    <w:rsid w:val="5E060C8E"/>
    <w:rsid w:val="5EF0355E"/>
    <w:rsid w:val="5F2B5AF9"/>
    <w:rsid w:val="5FA535A8"/>
    <w:rsid w:val="5FAC2886"/>
    <w:rsid w:val="61DC16D9"/>
    <w:rsid w:val="6208119A"/>
    <w:rsid w:val="627F354A"/>
    <w:rsid w:val="62B06AB9"/>
    <w:rsid w:val="63F85CFF"/>
    <w:rsid w:val="65342829"/>
    <w:rsid w:val="66115D2A"/>
    <w:rsid w:val="661F3CFE"/>
    <w:rsid w:val="66AD5E91"/>
    <w:rsid w:val="67053D91"/>
    <w:rsid w:val="67475AFF"/>
    <w:rsid w:val="67580DB3"/>
    <w:rsid w:val="68B02994"/>
    <w:rsid w:val="693441EF"/>
    <w:rsid w:val="693445F0"/>
    <w:rsid w:val="693E0F97"/>
    <w:rsid w:val="6B15541D"/>
    <w:rsid w:val="6BFE08D4"/>
    <w:rsid w:val="6CD3767E"/>
    <w:rsid w:val="6DA56FA2"/>
    <w:rsid w:val="6E5C0FC4"/>
    <w:rsid w:val="6EA23118"/>
    <w:rsid w:val="6EA82729"/>
    <w:rsid w:val="70036443"/>
    <w:rsid w:val="72AA58AC"/>
    <w:rsid w:val="72D86940"/>
    <w:rsid w:val="72FA749F"/>
    <w:rsid w:val="7339353F"/>
    <w:rsid w:val="73DA3F4B"/>
    <w:rsid w:val="75043F86"/>
    <w:rsid w:val="752100C5"/>
    <w:rsid w:val="759E4FA9"/>
    <w:rsid w:val="76714BCC"/>
    <w:rsid w:val="76ED013F"/>
    <w:rsid w:val="78212156"/>
    <w:rsid w:val="788831CC"/>
    <w:rsid w:val="79597BD5"/>
    <w:rsid w:val="798049E4"/>
    <w:rsid w:val="79C13090"/>
    <w:rsid w:val="79C2421E"/>
    <w:rsid w:val="79FB24B1"/>
    <w:rsid w:val="7A363391"/>
    <w:rsid w:val="7A43229B"/>
    <w:rsid w:val="7AF43DC5"/>
    <w:rsid w:val="7B403D2F"/>
    <w:rsid w:val="7BB86445"/>
    <w:rsid w:val="7C9B1465"/>
    <w:rsid w:val="7C9D71DA"/>
    <w:rsid w:val="7CAF3B6D"/>
    <w:rsid w:val="7D2352CE"/>
    <w:rsid w:val="7D4C43EF"/>
    <w:rsid w:val="7DA45EE7"/>
    <w:rsid w:val="7E2D4FBB"/>
    <w:rsid w:val="7E3D766C"/>
    <w:rsid w:val="7E434E2C"/>
    <w:rsid w:val="7EF81837"/>
    <w:rsid w:val="7F0C2902"/>
    <w:rsid w:val="7F505686"/>
    <w:rsid w:val="7F7A4B59"/>
    <w:rsid w:val="7FB113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99"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21"/>
    <w:qFormat/>
    <w:uiPriority w:val="99"/>
    <w:pPr>
      <w:keepNext/>
      <w:widowControl/>
      <w:jc w:val="center"/>
      <w:outlineLvl w:val="1"/>
    </w:pPr>
    <w:rPr>
      <w:b/>
      <w:kern w:val="0"/>
      <w:sz w:val="22"/>
      <w:szCs w:val="20"/>
      <w:u w:val="single"/>
      <w:lang w:eastAsia="en-US"/>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Document Map"/>
    <w:basedOn w:val="1"/>
    <w:link w:val="22"/>
    <w:qFormat/>
    <w:uiPriority w:val="99"/>
    <w:rPr>
      <w:rFonts w:ascii="宋体" w:hAnsi="Calibri"/>
      <w:sz w:val="18"/>
      <w:szCs w:val="18"/>
    </w:rPr>
  </w:style>
  <w:style w:type="paragraph" w:styleId="4">
    <w:name w:val="annotation text"/>
    <w:basedOn w:val="1"/>
    <w:link w:val="23"/>
    <w:qFormat/>
    <w:uiPriority w:val="99"/>
    <w:pPr>
      <w:jc w:val="left"/>
    </w:pPr>
  </w:style>
  <w:style w:type="paragraph" w:styleId="5">
    <w:name w:val="Body Text 3"/>
    <w:basedOn w:val="1"/>
    <w:link w:val="24"/>
    <w:qFormat/>
    <w:uiPriority w:val="99"/>
    <w:pPr>
      <w:jc w:val="left"/>
    </w:pPr>
    <w:rPr>
      <w:rFonts w:ascii="Calibri" w:hAnsi="Calibri"/>
      <w:sz w:val="22"/>
      <w:szCs w:val="22"/>
      <w:lang w:eastAsia="en-US"/>
    </w:rPr>
  </w:style>
  <w:style w:type="paragraph" w:styleId="6">
    <w:name w:val="Plain Text"/>
    <w:basedOn w:val="1"/>
    <w:link w:val="25"/>
    <w:qFormat/>
    <w:uiPriority w:val="99"/>
    <w:rPr>
      <w:rFonts w:ascii="宋体" w:hAnsi="Courier New" w:cs="Courier New"/>
      <w:bCs/>
      <w:szCs w:val="21"/>
    </w:rPr>
  </w:style>
  <w:style w:type="paragraph" w:styleId="7">
    <w:name w:val="Balloon Text"/>
    <w:basedOn w:val="1"/>
    <w:link w:val="26"/>
    <w:qFormat/>
    <w:uiPriority w:val="99"/>
    <w:rPr>
      <w:sz w:val="18"/>
      <w:szCs w:val="18"/>
    </w:rPr>
  </w:style>
  <w:style w:type="paragraph" w:styleId="8">
    <w:name w:val="footer"/>
    <w:basedOn w:val="1"/>
    <w:link w:val="27"/>
    <w:qFormat/>
    <w:uiPriority w:val="99"/>
    <w:pPr>
      <w:tabs>
        <w:tab w:val="center" w:pos="4153"/>
        <w:tab w:val="right" w:pos="8306"/>
      </w:tabs>
      <w:snapToGrid w:val="0"/>
      <w:jc w:val="left"/>
    </w:pPr>
    <w:rPr>
      <w:sz w:val="18"/>
      <w:szCs w:val="18"/>
    </w:rPr>
  </w:style>
  <w:style w:type="paragraph" w:styleId="9">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link w:val="29"/>
    <w:qFormat/>
    <w:uiPriority w:val="99"/>
    <w:pPr>
      <w:snapToGrid w:val="0"/>
      <w:jc w:val="left"/>
    </w:pPr>
    <w:rPr>
      <w:rFonts w:ascii="Calibri" w:hAnsi="Calibri"/>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Title"/>
    <w:basedOn w:val="1"/>
    <w:next w:val="1"/>
    <w:link w:val="30"/>
    <w:qFormat/>
    <w:uiPriority w:val="99"/>
    <w:pPr>
      <w:spacing w:before="240" w:after="60"/>
      <w:jc w:val="center"/>
      <w:outlineLvl w:val="0"/>
    </w:pPr>
    <w:rPr>
      <w:rFonts w:ascii="Cambria" w:hAnsi="Cambria"/>
      <w:b/>
      <w:bCs/>
      <w:sz w:val="32"/>
      <w:szCs w:val="32"/>
    </w:rPr>
  </w:style>
  <w:style w:type="paragraph" w:styleId="13">
    <w:name w:val="annotation subject"/>
    <w:basedOn w:val="4"/>
    <w:next w:val="4"/>
    <w:link w:val="31"/>
    <w:qFormat/>
    <w:uiPriority w:val="99"/>
    <w:rPr>
      <w:b/>
      <w:bCs/>
    </w:rPr>
  </w:style>
  <w:style w:type="character" w:styleId="16">
    <w:name w:val="Strong"/>
    <w:qFormat/>
    <w:uiPriority w:val="0"/>
    <w:rPr>
      <w:b/>
    </w:rPr>
  </w:style>
  <w:style w:type="character" w:styleId="17">
    <w:name w:val="Emphasis"/>
    <w:qFormat/>
    <w:uiPriority w:val="20"/>
    <w:rPr>
      <w:i/>
      <w:iCs/>
    </w:rPr>
  </w:style>
  <w:style w:type="character" w:styleId="18">
    <w:name w:val="Hyperlink"/>
    <w:qFormat/>
    <w:uiPriority w:val="99"/>
    <w:rPr>
      <w:color w:val="0000FF"/>
      <w:u w:val="single"/>
    </w:rPr>
  </w:style>
  <w:style w:type="character" w:styleId="19">
    <w:name w:val="annotation reference"/>
    <w:qFormat/>
    <w:uiPriority w:val="0"/>
    <w:rPr>
      <w:sz w:val="21"/>
      <w:szCs w:val="21"/>
    </w:rPr>
  </w:style>
  <w:style w:type="character" w:styleId="20">
    <w:name w:val="footnote reference"/>
    <w:qFormat/>
    <w:uiPriority w:val="0"/>
    <w:rPr>
      <w:vertAlign w:val="superscript"/>
    </w:rPr>
  </w:style>
  <w:style w:type="character" w:customStyle="1" w:styleId="21">
    <w:name w:val="标题 2 Char"/>
    <w:link w:val="2"/>
    <w:qFormat/>
    <w:uiPriority w:val="99"/>
    <w:rPr>
      <w:b/>
      <w:sz w:val="22"/>
      <w:u w:val="single"/>
      <w:lang w:eastAsia="en-US"/>
    </w:rPr>
  </w:style>
  <w:style w:type="character" w:customStyle="1" w:styleId="22">
    <w:name w:val="文档结构图 Char"/>
    <w:link w:val="3"/>
    <w:qFormat/>
    <w:uiPriority w:val="99"/>
    <w:rPr>
      <w:rFonts w:ascii="宋体" w:hAnsi="Calibri"/>
      <w:kern w:val="2"/>
      <w:sz w:val="18"/>
      <w:szCs w:val="18"/>
    </w:rPr>
  </w:style>
  <w:style w:type="character" w:customStyle="1" w:styleId="23">
    <w:name w:val="批注文字 Char"/>
    <w:link w:val="4"/>
    <w:qFormat/>
    <w:uiPriority w:val="99"/>
    <w:rPr>
      <w:kern w:val="2"/>
      <w:sz w:val="21"/>
      <w:szCs w:val="24"/>
    </w:rPr>
  </w:style>
  <w:style w:type="character" w:customStyle="1" w:styleId="24">
    <w:name w:val="正文文本 3 Char"/>
    <w:link w:val="5"/>
    <w:qFormat/>
    <w:uiPriority w:val="99"/>
    <w:rPr>
      <w:rFonts w:ascii="Calibri" w:hAnsi="Calibri"/>
      <w:kern w:val="2"/>
      <w:sz w:val="22"/>
      <w:szCs w:val="22"/>
      <w:lang w:eastAsia="en-US"/>
    </w:rPr>
  </w:style>
  <w:style w:type="character" w:customStyle="1" w:styleId="25">
    <w:name w:val="纯文本 Char"/>
    <w:link w:val="6"/>
    <w:qFormat/>
    <w:uiPriority w:val="99"/>
    <w:rPr>
      <w:rFonts w:ascii="宋体" w:hAnsi="Courier New" w:eastAsia="宋体" w:cs="Courier New"/>
      <w:bCs/>
      <w:kern w:val="2"/>
      <w:sz w:val="21"/>
      <w:szCs w:val="21"/>
      <w:lang w:val="en-US" w:eastAsia="zh-CN" w:bidi="ar-SA"/>
    </w:rPr>
  </w:style>
  <w:style w:type="character" w:customStyle="1" w:styleId="26">
    <w:name w:val="批注框文本 Char"/>
    <w:link w:val="7"/>
    <w:qFormat/>
    <w:uiPriority w:val="99"/>
    <w:rPr>
      <w:kern w:val="2"/>
      <w:sz w:val="18"/>
      <w:szCs w:val="18"/>
    </w:rPr>
  </w:style>
  <w:style w:type="character" w:customStyle="1" w:styleId="27">
    <w:name w:val="页脚 Char"/>
    <w:link w:val="8"/>
    <w:qFormat/>
    <w:uiPriority w:val="99"/>
    <w:rPr>
      <w:kern w:val="2"/>
      <w:sz w:val="18"/>
      <w:szCs w:val="18"/>
    </w:rPr>
  </w:style>
  <w:style w:type="character" w:customStyle="1" w:styleId="28">
    <w:name w:val="页眉 Char"/>
    <w:link w:val="9"/>
    <w:qFormat/>
    <w:uiPriority w:val="99"/>
    <w:rPr>
      <w:kern w:val="2"/>
      <w:sz w:val="18"/>
      <w:szCs w:val="24"/>
    </w:rPr>
  </w:style>
  <w:style w:type="character" w:customStyle="1" w:styleId="29">
    <w:name w:val="脚注文本 Char"/>
    <w:link w:val="10"/>
    <w:qFormat/>
    <w:uiPriority w:val="99"/>
    <w:rPr>
      <w:rFonts w:ascii="Calibri" w:hAnsi="Calibri"/>
      <w:kern w:val="2"/>
      <w:sz w:val="18"/>
      <w:szCs w:val="18"/>
    </w:rPr>
  </w:style>
  <w:style w:type="character" w:customStyle="1" w:styleId="30">
    <w:name w:val="标题 Char"/>
    <w:link w:val="12"/>
    <w:qFormat/>
    <w:uiPriority w:val="99"/>
    <w:rPr>
      <w:rFonts w:ascii="Cambria" w:hAnsi="Cambria"/>
      <w:b/>
      <w:bCs/>
      <w:kern w:val="2"/>
      <w:sz w:val="32"/>
      <w:szCs w:val="32"/>
    </w:rPr>
  </w:style>
  <w:style w:type="character" w:customStyle="1" w:styleId="31">
    <w:name w:val="批注主题 Char"/>
    <w:link w:val="13"/>
    <w:qFormat/>
    <w:uiPriority w:val="99"/>
  </w:style>
  <w:style w:type="character" w:customStyle="1" w:styleId="32">
    <w:name w:val="_Style 31"/>
    <w:qFormat/>
    <w:uiPriority w:val="19"/>
    <w:rPr>
      <w:i/>
      <w:iCs/>
      <w:color w:val="808080"/>
    </w:rPr>
  </w:style>
  <w:style w:type="character" w:customStyle="1" w:styleId="33">
    <w:name w:val="font11"/>
    <w:qFormat/>
    <w:uiPriority w:val="99"/>
    <w:rPr>
      <w:rFonts w:ascii="楷体" w:hAnsi="楷体" w:eastAsia="楷体"/>
      <w:color w:val="000000"/>
      <w:sz w:val="21"/>
      <w:u w:val="none"/>
    </w:rPr>
  </w:style>
  <w:style w:type="character" w:customStyle="1" w:styleId="34">
    <w:name w:val="font31"/>
    <w:qFormat/>
    <w:uiPriority w:val="99"/>
    <w:rPr>
      <w:rFonts w:ascii="楷体" w:hAnsi="楷体" w:eastAsia="楷体"/>
      <w:b/>
      <w:color w:val="000000"/>
      <w:sz w:val="22"/>
      <w:u w:val="none"/>
    </w:rPr>
  </w:style>
  <w:style w:type="character" w:customStyle="1" w:styleId="35">
    <w:name w:val="apple-converted-space"/>
    <w:qFormat/>
    <w:uiPriority w:val="0"/>
  </w:style>
  <w:style w:type="character" w:customStyle="1" w:styleId="36">
    <w:name w:val="Plain Text Char"/>
    <w:qFormat/>
    <w:locked/>
    <w:uiPriority w:val="99"/>
    <w:rPr>
      <w:rFonts w:ascii="宋体" w:hAnsi="Courier New" w:eastAsia="宋体"/>
      <w:sz w:val="21"/>
    </w:rPr>
  </w:style>
  <w:style w:type="character" w:customStyle="1" w:styleId="37">
    <w:name w:val="font41"/>
    <w:qFormat/>
    <w:uiPriority w:val="99"/>
    <w:rPr>
      <w:rFonts w:ascii="Times New Roman" w:hAnsi="Times New Roman"/>
      <w:b/>
      <w:color w:val="000000"/>
      <w:sz w:val="22"/>
      <w:u w:val="none"/>
    </w:rPr>
  </w:style>
  <w:style w:type="character" w:customStyle="1" w:styleId="38">
    <w:name w:val="font21"/>
    <w:qFormat/>
    <w:uiPriority w:val="99"/>
    <w:rPr>
      <w:rFonts w:ascii="宋体" w:hAnsi="宋体" w:eastAsia="宋体"/>
      <w:b/>
      <w:color w:val="000000"/>
      <w:sz w:val="22"/>
      <w:u w:val="none"/>
    </w:rPr>
  </w:style>
  <w:style w:type="paragraph" w:styleId="39">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Char Char Char Char"/>
    <w:basedOn w:val="1"/>
    <w:qFormat/>
    <w:uiPriority w:val="99"/>
    <w:pPr>
      <w:adjustRightInd w:val="0"/>
      <w:spacing w:line="360" w:lineRule="atLeast"/>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NanFang</Company>
  <Pages>3</Pages>
  <Words>1878</Words>
  <Characters>1931</Characters>
  <Lines>14</Lines>
  <Paragraphs>4</Paragraphs>
  <TotalTime>42</TotalTime>
  <ScaleCrop>false</ScaleCrop>
  <LinksUpToDate>false</LinksUpToDate>
  <CharactersWithSpaces>1937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2024-04-24T14:41:00Z</dcterms:created>
  <dc:creator>微软用户</dc:creator>
  <cp:lastModifiedBy>温家梅</cp:lastModifiedBy>
  <cp:lastPrinted>2021-04-02T06:47:00Z</cp:lastPrinted>
  <dcterms:modified xsi:type="dcterms:W3CDTF">2026-07-14T07:17:42Z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RubyTemplateID">
    <vt:lpwstr>6</vt:lpwstr>
  </property>
  <property fmtid="{D5CDD505-2E9C-101B-9397-08002B2CF9AE}" pid="4" name="ICV">
    <vt:lpwstr>906A9EF162FA4C31810F955649E656FA_13</vt:lpwstr>
  </property>
  <property fmtid="{D5CDD505-2E9C-101B-9397-08002B2CF9AE}" pid="5" name="KSOTemplateDocerSaveRecord">
    <vt:lpwstr>eyJoZGlkIjoiNjA3MzhhYjYxNGQwMTcyZmMzMTNiMDFmOGU5YjUzNDkiLCJ1c2VySWQiOiI0MjQyNDczOTMifQ==</vt:lpwstr>
  </property>
</Properties>
</file>